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8"/>
        <w:gridCol w:w="4550"/>
      </w:tblGrid>
      <w:tr w:rsidR="00171F69" w:rsidRPr="000C63C2" w14:paraId="2174FD9C" w14:textId="77777777" w:rsidTr="00070A9B">
        <w:trPr>
          <w:trHeight w:val="538"/>
        </w:trPr>
        <w:tc>
          <w:tcPr>
            <w:tcW w:w="6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33F6E2" w14:textId="77777777" w:rsidR="00241721" w:rsidRPr="001E0A93" w:rsidRDefault="00ED5E7A" w:rsidP="00B330C7">
            <w:pPr>
              <w:rPr>
                <w:b/>
                <w:sz w:val="22"/>
                <w:szCs w:val="22"/>
                <w:lang w:val="en-US"/>
              </w:rPr>
            </w:pPr>
            <w:r w:rsidRPr="001E0A93">
              <w:rPr>
                <w:b/>
                <w:sz w:val="22"/>
                <w:szCs w:val="22"/>
                <w:lang w:val="en-US"/>
              </w:rPr>
              <w:t>Course title</w:t>
            </w:r>
          </w:p>
          <w:p w14:paraId="12930143" w14:textId="77777777" w:rsidR="002141DE" w:rsidRDefault="00CB0246" w:rsidP="00210A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Coordinati</w:t>
            </w:r>
            <w:r w:rsidR="00733703">
              <w:rPr>
                <w:sz w:val="22"/>
                <w:szCs w:val="22"/>
                <w:lang w:val="en-US"/>
              </w:rPr>
              <w:t>ve</w:t>
            </w:r>
            <w:r w:rsidRPr="00CB0246">
              <w:rPr>
                <w:sz w:val="22"/>
                <w:szCs w:val="22"/>
                <w:lang w:val="en-US"/>
              </w:rPr>
              <w:t xml:space="preserve"> chemistry</w:t>
            </w:r>
            <w:r w:rsidR="002141DE" w:rsidRPr="001E0A93">
              <w:rPr>
                <w:sz w:val="22"/>
                <w:szCs w:val="22"/>
                <w:lang w:val="en-US"/>
              </w:rPr>
              <w:t xml:space="preserve"> </w:t>
            </w:r>
            <w:r w:rsidR="002141DE">
              <w:rPr>
                <w:sz w:val="22"/>
                <w:szCs w:val="22"/>
                <w:lang w:val="en-US"/>
              </w:rPr>
              <w:t>– ERASMUS</w:t>
            </w:r>
          </w:p>
          <w:p w14:paraId="2CA433EB" w14:textId="77777777" w:rsidR="00241721" w:rsidRPr="000C63C2" w:rsidRDefault="00CB0246" w:rsidP="002605CE">
            <w:pPr>
              <w:rPr>
                <w:sz w:val="22"/>
                <w:szCs w:val="22"/>
                <w:lang w:val="en-US"/>
              </w:rPr>
            </w:pPr>
            <w:r w:rsidRPr="00CB0246">
              <w:rPr>
                <w:sz w:val="22"/>
                <w:szCs w:val="22"/>
                <w:lang w:val="en-US"/>
              </w:rPr>
              <w:t>Chemia koordynacyjna</w:t>
            </w:r>
            <w:r w:rsidR="002141DE">
              <w:rPr>
                <w:sz w:val="22"/>
                <w:szCs w:val="22"/>
                <w:lang w:val="en-US"/>
              </w:rPr>
              <w:t xml:space="preserve"> – ERASMUS </w:t>
            </w:r>
          </w:p>
        </w:tc>
        <w:tc>
          <w:tcPr>
            <w:tcW w:w="4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688A46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ED5E7A" w:rsidRPr="000C63C2">
              <w:rPr>
                <w:b/>
                <w:sz w:val="22"/>
                <w:szCs w:val="22"/>
                <w:lang w:val="en-US"/>
              </w:rPr>
              <w:t xml:space="preserve"> code</w:t>
            </w:r>
          </w:p>
          <w:p w14:paraId="6F8D7957" w14:textId="4E5CB4D1" w:rsidR="00241721" w:rsidRPr="000C63C2" w:rsidRDefault="00270A4C" w:rsidP="00270A4C">
            <w:pPr>
              <w:rPr>
                <w:sz w:val="22"/>
                <w:szCs w:val="22"/>
                <w:lang w:val="en-US"/>
              </w:rPr>
            </w:pPr>
            <w:r w:rsidRPr="00270A4C">
              <w:rPr>
                <w:sz w:val="22"/>
                <w:szCs w:val="22"/>
                <w:lang w:val="en-US"/>
              </w:rPr>
              <w:t>13.3.1</w:t>
            </w:r>
            <w:r w:rsidR="00214480">
              <w:rPr>
                <w:sz w:val="22"/>
                <w:szCs w:val="22"/>
                <w:lang w:val="en-US"/>
              </w:rPr>
              <w:t>348</w:t>
            </w:r>
          </w:p>
        </w:tc>
      </w:tr>
      <w:tr w:rsidR="00171F69" w:rsidRPr="00214480" w14:paraId="56A6544A" w14:textId="77777777" w:rsidTr="00070A9B">
        <w:trPr>
          <w:trHeight w:val="52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321F04" w14:textId="77777777" w:rsidR="006F17B2" w:rsidRPr="000C63C2" w:rsidRDefault="006F17B2" w:rsidP="000A07C2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Name of unit administrating study </w:t>
            </w:r>
          </w:p>
          <w:p w14:paraId="3DDCB206" w14:textId="77777777" w:rsidR="00241721" w:rsidRPr="000C63C2" w:rsidRDefault="00070A9B" w:rsidP="003B13F9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US"/>
              </w:rPr>
              <w:t xml:space="preserve">Faculty </w:t>
            </w:r>
            <w:r w:rsidR="00A15F9B" w:rsidRPr="000C63C2">
              <w:rPr>
                <w:sz w:val="22"/>
                <w:szCs w:val="22"/>
                <w:lang w:val="en-US"/>
              </w:rPr>
              <w:t>Chemistry</w:t>
            </w:r>
          </w:p>
        </w:tc>
      </w:tr>
      <w:tr w:rsidR="00171F69" w:rsidRPr="00D5526E" w14:paraId="0AC5B8C0" w14:textId="77777777" w:rsidTr="00D5526E">
        <w:trPr>
          <w:trHeight w:val="145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FC78FE" w14:textId="77777777" w:rsidR="00241721" w:rsidRPr="000C63C2" w:rsidRDefault="00620EEF" w:rsidP="0066480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Studies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568"/>
              <w:gridCol w:w="2568"/>
              <w:gridCol w:w="2569"/>
            </w:tblGrid>
            <w:tr w:rsidR="00171F69" w:rsidRPr="00D5526E" w14:paraId="4F319566" w14:textId="77777777" w:rsidTr="006A37B8">
              <w:tc>
                <w:tcPr>
                  <w:tcW w:w="2568" w:type="dxa"/>
                </w:tcPr>
                <w:p w14:paraId="01BA8783" w14:textId="77777777" w:rsidR="00965A3A" w:rsidRPr="000C63C2" w:rsidRDefault="00ED5E7A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Field of study</w:t>
                  </w:r>
                </w:p>
                <w:p w14:paraId="6BED5AE5" w14:textId="77777777" w:rsidR="00B13321" w:rsidRPr="000C63C2" w:rsidRDefault="00B13321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0BC4E6C7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Type</w:t>
                  </w:r>
                </w:p>
                <w:p w14:paraId="1BD613C5" w14:textId="77777777" w:rsidR="00B13321" w:rsidRPr="000C63C2" w:rsidRDefault="00B13321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8" w:type="dxa"/>
                </w:tcPr>
                <w:p w14:paraId="7EC13E3C" w14:textId="77777777" w:rsidR="00965A3A" w:rsidRPr="000C63C2" w:rsidRDefault="006F17B2" w:rsidP="0066480A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b/>
                      <w:bCs/>
                      <w:sz w:val="22"/>
                      <w:szCs w:val="22"/>
                      <w:lang w:val="en-US"/>
                    </w:rPr>
                    <w:t>Form</w:t>
                  </w:r>
                </w:p>
                <w:p w14:paraId="567D838C" w14:textId="77777777" w:rsidR="00B13321" w:rsidRPr="000C63C2" w:rsidRDefault="00B13321" w:rsidP="0066480A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69" w:type="dxa"/>
                </w:tcPr>
                <w:p w14:paraId="282C8686" w14:textId="77777777" w:rsidR="00965A3A" w:rsidRPr="000C63C2" w:rsidRDefault="00965A3A" w:rsidP="0066480A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1F69" w:rsidRPr="00D5526E" w14:paraId="66AEB405" w14:textId="77777777" w:rsidTr="00210A2F">
              <w:tc>
                <w:tcPr>
                  <w:tcW w:w="2568" w:type="dxa"/>
                </w:tcPr>
                <w:p w14:paraId="3C3D5846" w14:textId="77777777" w:rsidR="00965A3A" w:rsidRPr="000C63C2" w:rsidRDefault="00825F01" w:rsidP="00617BB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Chemi</w:t>
                  </w:r>
                  <w:r w:rsidR="00617BB5">
                    <w:rPr>
                      <w:sz w:val="22"/>
                      <w:szCs w:val="22"/>
                      <w:lang w:val="en-US"/>
                    </w:rPr>
                    <w:t>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187056B0" w14:textId="77777777" w:rsidR="00965A3A" w:rsidRPr="000C63C2" w:rsidRDefault="003B13F9" w:rsidP="003B13F9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Bachelor </w:t>
                  </w:r>
                </w:p>
              </w:tc>
              <w:tc>
                <w:tcPr>
                  <w:tcW w:w="2568" w:type="dxa"/>
                  <w:vAlign w:val="center"/>
                </w:tcPr>
                <w:p w14:paraId="28BA6EF0" w14:textId="77777777" w:rsidR="003B13F9" w:rsidRPr="000C63C2" w:rsidRDefault="003B13F9" w:rsidP="00210A2F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>Full-time studies</w:t>
                  </w:r>
                  <w:r w:rsidR="003968EC"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9" w:type="dxa"/>
                </w:tcPr>
                <w:p w14:paraId="133EAE3A" w14:textId="77777777" w:rsidR="00965A3A" w:rsidRPr="000C63C2" w:rsidRDefault="00965A3A" w:rsidP="0066480A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D2DC6" w:rsidRPr="00D5526E" w14:paraId="6578B4CD" w14:textId="77777777" w:rsidTr="00210A2F">
              <w:tc>
                <w:tcPr>
                  <w:tcW w:w="2568" w:type="dxa"/>
                </w:tcPr>
                <w:p w14:paraId="573D128F" w14:textId="77777777"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825F01">
                    <w:rPr>
                      <w:sz w:val="22"/>
                      <w:szCs w:val="22"/>
                      <w:lang w:val="en-US"/>
                    </w:rPr>
                    <w:t>Chemi</w:t>
                  </w:r>
                  <w:r>
                    <w:rPr>
                      <w:sz w:val="22"/>
                      <w:szCs w:val="22"/>
                      <w:lang w:val="en-US"/>
                    </w:rPr>
                    <w:t>stry</w:t>
                  </w:r>
                </w:p>
              </w:tc>
              <w:tc>
                <w:tcPr>
                  <w:tcW w:w="2568" w:type="dxa"/>
                  <w:vAlign w:val="center"/>
                </w:tcPr>
                <w:p w14:paraId="5CFDE39F" w14:textId="77777777"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Master</w:t>
                  </w: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68" w:type="dxa"/>
                  <w:vAlign w:val="center"/>
                </w:tcPr>
                <w:p w14:paraId="13122547" w14:textId="77777777" w:rsidR="00ED2DC6" w:rsidRPr="000C63C2" w:rsidRDefault="00ED2DC6" w:rsidP="00ED2DC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C63C2">
                    <w:rPr>
                      <w:sz w:val="22"/>
                      <w:szCs w:val="22"/>
                      <w:lang w:val="en-US"/>
                    </w:rPr>
                    <w:t xml:space="preserve">Full-time studies </w:t>
                  </w:r>
                </w:p>
              </w:tc>
              <w:tc>
                <w:tcPr>
                  <w:tcW w:w="2569" w:type="dxa"/>
                </w:tcPr>
                <w:p w14:paraId="3A2CD874" w14:textId="77777777" w:rsidR="00ED2DC6" w:rsidRPr="000C63C2" w:rsidRDefault="00ED2DC6" w:rsidP="00ED2DC6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62BD146E" w14:textId="77777777" w:rsidR="00241721" w:rsidRPr="000C63C2" w:rsidRDefault="00241721" w:rsidP="0066480A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71F69" w:rsidRPr="00214480" w14:paraId="1E45C859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D49BB" w14:textId="77777777" w:rsidR="00241721" w:rsidRPr="00ED2DC6" w:rsidRDefault="00620EEF" w:rsidP="00B330C7">
            <w:pPr>
              <w:rPr>
                <w:b/>
                <w:sz w:val="22"/>
                <w:szCs w:val="22"/>
                <w:lang w:val="en-US"/>
              </w:rPr>
            </w:pPr>
            <w:r w:rsidRPr="00ED2DC6">
              <w:rPr>
                <w:b/>
                <w:sz w:val="22"/>
                <w:szCs w:val="22"/>
                <w:lang w:val="en-US"/>
              </w:rPr>
              <w:t>Teaching staff</w:t>
            </w:r>
          </w:p>
          <w:p w14:paraId="56127CAC" w14:textId="77777777" w:rsidR="00241721" w:rsidRPr="000F6B50" w:rsidRDefault="002605CE" w:rsidP="000F6B50">
            <w:pPr>
              <w:rPr>
                <w:sz w:val="22"/>
                <w:szCs w:val="22"/>
                <w:lang w:val="en-US"/>
              </w:rPr>
            </w:pPr>
            <w:r w:rsidRPr="000F6B50">
              <w:rPr>
                <w:sz w:val="22"/>
                <w:szCs w:val="22"/>
                <w:lang w:val="en-US"/>
              </w:rPr>
              <w:t xml:space="preserve">dr </w:t>
            </w:r>
            <w:r w:rsidR="000F6B50" w:rsidRPr="000F6B50">
              <w:rPr>
                <w:sz w:val="22"/>
                <w:szCs w:val="22"/>
                <w:lang w:val="en-US"/>
              </w:rPr>
              <w:t>Krzysztof Żamojć</w:t>
            </w:r>
          </w:p>
        </w:tc>
      </w:tr>
      <w:tr w:rsidR="00171F69" w:rsidRPr="00214480" w14:paraId="53773B4F" w14:textId="77777777" w:rsidTr="00070A9B">
        <w:trPr>
          <w:trHeight w:val="482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623CD74" w14:textId="77777777" w:rsidR="00241721" w:rsidRPr="000C63C2" w:rsidRDefault="006F17B2" w:rsidP="00315902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classes, the realiz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>ation and num</w:t>
            </w:r>
            <w:r w:rsidR="004A19EF" w:rsidRPr="000C63C2">
              <w:rPr>
                <w:b/>
                <w:sz w:val="22"/>
                <w:szCs w:val="22"/>
                <w:lang w:val="en-US"/>
              </w:rPr>
              <w:t>b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er of hours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8DD426" w14:textId="77777777" w:rsidR="000C63C2" w:rsidRPr="000C63C2" w:rsidRDefault="00241721" w:rsidP="009070AA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ECTS</w:t>
            </w:r>
            <w:r w:rsidR="00315902" w:rsidRPr="000C63C2">
              <w:rPr>
                <w:b/>
                <w:sz w:val="22"/>
                <w:szCs w:val="22"/>
                <w:lang w:val="en-US"/>
              </w:rPr>
              <w:t xml:space="preserve"> credits</w:t>
            </w:r>
            <w:r w:rsidR="00617BB5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0900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1DA6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2605CE">
              <w:rPr>
                <w:b/>
                <w:sz w:val="22"/>
                <w:szCs w:val="22"/>
                <w:lang w:val="en-US"/>
              </w:rPr>
              <w:t>4</w:t>
            </w:r>
          </w:p>
          <w:p w14:paraId="1A109D22" w14:textId="77777777" w:rsidR="00617BB5" w:rsidRPr="004A62AB" w:rsidRDefault="0089258F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0C63C2">
              <w:rPr>
                <w:rFonts w:eastAsiaTheme="minorHAnsi"/>
                <w:sz w:val="22"/>
                <w:szCs w:val="22"/>
                <w:lang w:val="en-US" w:eastAsia="en-US"/>
              </w:rPr>
              <w:br/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 xml:space="preserve">classes </w:t>
            </w:r>
            <w:r w:rsidR="002605CE">
              <w:rPr>
                <w:rFonts w:eastAsiaTheme="minorHAnsi"/>
                <w:sz w:val="22"/>
                <w:szCs w:val="22"/>
                <w:lang w:val="en-GB" w:eastAsia="en-US"/>
              </w:rPr>
              <w:t>30</w:t>
            </w:r>
            <w:r w:rsidR="00617BB5"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0A68E757" w14:textId="77777777" w:rsidR="00617BB5" w:rsidRPr="004A62AB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tutorial classes </w:t>
            </w:r>
            <w:r w:rsidR="002605CE">
              <w:rPr>
                <w:rFonts w:eastAsiaTheme="minorHAnsi"/>
                <w:sz w:val="22"/>
                <w:szCs w:val="22"/>
                <w:lang w:val="en-GB" w:eastAsia="en-US"/>
              </w:rPr>
              <w:t>20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757F9ABE" w14:textId="77777777" w:rsidR="00617BB5" w:rsidRPr="004A62AB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>
              <w:rPr>
                <w:rFonts w:eastAsiaTheme="minorHAnsi"/>
                <w:sz w:val="22"/>
                <w:szCs w:val="22"/>
                <w:lang w:val="en-GB" w:eastAsia="en-US"/>
              </w:rPr>
              <w:t xml:space="preserve">student’s own work </w:t>
            </w:r>
            <w:r w:rsidR="002605CE">
              <w:rPr>
                <w:rFonts w:eastAsiaTheme="minorHAnsi"/>
                <w:sz w:val="22"/>
                <w:szCs w:val="22"/>
                <w:lang w:val="en-GB" w:eastAsia="en-US"/>
              </w:rPr>
              <w:t>50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</w:t>
            </w:r>
          </w:p>
          <w:p w14:paraId="3B605652" w14:textId="77777777" w:rsidR="00617BB5" w:rsidRPr="000C63C2" w:rsidRDefault="00617BB5" w:rsidP="00617BB5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TOTAL: </w:t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>1</w:t>
            </w:r>
            <w:r w:rsidR="002605CE">
              <w:rPr>
                <w:rFonts w:eastAsiaTheme="minorHAnsi"/>
                <w:sz w:val="22"/>
                <w:szCs w:val="22"/>
                <w:lang w:val="en-GB" w:eastAsia="en-US"/>
              </w:rPr>
              <w:t>00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 xml:space="preserve"> h - </w:t>
            </w:r>
            <w:r w:rsidR="002605CE">
              <w:rPr>
                <w:rFonts w:eastAsiaTheme="minorHAnsi"/>
                <w:sz w:val="22"/>
                <w:szCs w:val="22"/>
                <w:lang w:val="en-GB" w:eastAsia="en-US"/>
              </w:rPr>
              <w:t>4</w:t>
            </w:r>
            <w:r w:rsidR="001E0A93">
              <w:rPr>
                <w:rFonts w:eastAsiaTheme="minorHAnsi"/>
                <w:sz w:val="22"/>
                <w:szCs w:val="22"/>
                <w:lang w:val="en-GB" w:eastAsia="en-US"/>
              </w:rPr>
              <w:t xml:space="preserve"> </w:t>
            </w:r>
            <w:r w:rsidRPr="004A62AB">
              <w:rPr>
                <w:rFonts w:eastAsiaTheme="minorHAnsi"/>
                <w:sz w:val="22"/>
                <w:szCs w:val="22"/>
                <w:lang w:val="en-GB" w:eastAsia="en-US"/>
              </w:rPr>
              <w:t>ECTS</w:t>
            </w:r>
          </w:p>
          <w:p w14:paraId="79DC65D2" w14:textId="77777777" w:rsidR="001B0900" w:rsidRPr="000C63C2" w:rsidRDefault="001B0900" w:rsidP="009070AA">
            <w:pPr>
              <w:rPr>
                <w:rFonts w:eastAsiaTheme="minorHAnsi"/>
                <w:sz w:val="22"/>
                <w:szCs w:val="22"/>
                <w:lang w:val="en-GB" w:eastAsia="en-US"/>
              </w:rPr>
            </w:pPr>
          </w:p>
          <w:p w14:paraId="173B27EC" w14:textId="77777777" w:rsidR="00A05716" w:rsidRPr="000C63C2" w:rsidRDefault="00A05716" w:rsidP="000A46AF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171F69" w:rsidRPr="00617BB5" w14:paraId="201C185C" w14:textId="77777777" w:rsidTr="00070A9B">
        <w:trPr>
          <w:trHeight w:val="55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02B36D8" w14:textId="77777777" w:rsidR="007D12CE" w:rsidRPr="000C63C2" w:rsidRDefault="0031590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Forms of classes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,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UG Rector’s regulation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>s</w:t>
            </w:r>
          </w:p>
          <w:p w14:paraId="34E3BA96" w14:textId="77777777" w:rsidR="007D12CE" w:rsidRPr="000C63C2" w:rsidRDefault="00CB0246" w:rsidP="00CB0246">
            <w:pPr>
              <w:ind w:firstLine="55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seminar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79D639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5B434CAE" w14:textId="77777777" w:rsidTr="00070A9B">
        <w:trPr>
          <w:trHeight w:val="418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DF381E" w14:textId="77777777" w:rsidR="00241721" w:rsidRPr="000C63C2" w:rsidRDefault="006F17B2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realization of activities</w:t>
            </w:r>
          </w:p>
          <w:p w14:paraId="3E78C7AA" w14:textId="77777777" w:rsidR="009070AA" w:rsidRPr="000C63C2" w:rsidRDefault="0064605C" w:rsidP="009070AA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In-class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90ACD5" w14:textId="77777777" w:rsidR="00241721" w:rsidRPr="000C63C2" w:rsidRDefault="00241721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2A9ACCE0" w14:textId="77777777" w:rsidTr="00070A9B">
        <w:trPr>
          <w:trHeight w:val="502"/>
        </w:trPr>
        <w:tc>
          <w:tcPr>
            <w:tcW w:w="595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19F3B" w14:textId="77777777" w:rsidR="007D12CE" w:rsidRPr="000C63C2" w:rsidRDefault="00BF1038" w:rsidP="00A45F95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Number of hours</w:t>
            </w:r>
            <w:r w:rsidR="007D12CE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4DA6631D" w14:textId="77777777" w:rsidR="005431D0" w:rsidRPr="000C63C2" w:rsidRDefault="002605CE" w:rsidP="00CB0246">
            <w:pPr>
              <w:pStyle w:val="Akapitzlist"/>
              <w:ind w:left="5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CB0246">
              <w:rPr>
                <w:sz w:val="22"/>
                <w:szCs w:val="22"/>
                <w:lang w:val="en-US"/>
              </w:rPr>
              <w:t xml:space="preserve"> h - seminar</w:t>
            </w:r>
          </w:p>
        </w:tc>
        <w:tc>
          <w:tcPr>
            <w:tcW w:w="46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3530B9" w14:textId="77777777" w:rsidR="00A24A90" w:rsidRPr="000C63C2" w:rsidRDefault="00A24A90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171F69" w:rsidRPr="000C63C2" w14:paraId="0B65A089" w14:textId="77777777" w:rsidTr="00070A9B">
        <w:trPr>
          <w:trHeight w:val="5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B2728A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The a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>cademic cycle</w:t>
            </w:r>
          </w:p>
          <w:p w14:paraId="4BE0D559" w14:textId="77777777" w:rsidR="00241721" w:rsidRPr="000C63C2" w:rsidRDefault="002605CE" w:rsidP="000A46A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summer</w:t>
            </w:r>
          </w:p>
        </w:tc>
      </w:tr>
      <w:tr w:rsidR="00171F69" w:rsidRPr="000C63C2" w14:paraId="52CB3E8F" w14:textId="77777777" w:rsidTr="00070A9B">
        <w:trPr>
          <w:trHeight w:val="47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C5C25" w14:textId="77777777" w:rsidR="00ED2DC6" w:rsidRPr="00BC709B" w:rsidRDefault="00ED2DC6" w:rsidP="00ED2DC6">
            <w:pPr>
              <w:rPr>
                <w:b/>
                <w:sz w:val="22"/>
                <w:szCs w:val="22"/>
                <w:lang w:val="en-US"/>
              </w:rPr>
            </w:pPr>
            <w:r w:rsidRPr="00BC709B">
              <w:rPr>
                <w:b/>
                <w:sz w:val="22"/>
                <w:szCs w:val="22"/>
                <w:lang w:val="en-US"/>
              </w:rPr>
              <w:t>Type of course</w:t>
            </w:r>
          </w:p>
          <w:p w14:paraId="3EF7D002" w14:textId="77777777" w:rsidR="00241721" w:rsidRPr="000C63C2" w:rsidRDefault="00ED2DC6" w:rsidP="00ED2DC6">
            <w:pPr>
              <w:rPr>
                <w:sz w:val="22"/>
                <w:szCs w:val="22"/>
                <w:lang w:val="en-US"/>
              </w:rPr>
            </w:pPr>
            <w:r w:rsidRPr="00BC709B">
              <w:rPr>
                <w:sz w:val="22"/>
                <w:szCs w:val="22"/>
                <w:lang w:val="en-US"/>
              </w:rPr>
              <w:t>facultative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F3AB07" w14:textId="77777777" w:rsidR="00241721" w:rsidRPr="000C63C2" w:rsidRDefault="00BF103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Language</w:t>
            </w:r>
            <w:r w:rsidR="006F17B2" w:rsidRPr="000C63C2">
              <w:rPr>
                <w:b/>
                <w:sz w:val="22"/>
                <w:szCs w:val="22"/>
                <w:lang w:val="en-US"/>
              </w:rPr>
              <w:t xml:space="preserve"> of instruction</w:t>
            </w:r>
          </w:p>
          <w:p w14:paraId="75F4FE43" w14:textId="77777777" w:rsidR="0066480A" w:rsidRPr="000C63C2" w:rsidRDefault="00EC4696" w:rsidP="00EC469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English</w:t>
            </w:r>
          </w:p>
        </w:tc>
      </w:tr>
      <w:tr w:rsidR="00171F69" w:rsidRPr="00214480" w14:paraId="7447F3A7" w14:textId="77777777" w:rsidTr="00070A9B">
        <w:trPr>
          <w:trHeight w:val="561"/>
        </w:trPr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2BD548" w14:textId="77777777" w:rsidR="005431D0" w:rsidRPr="000C63C2" w:rsidRDefault="00BF1038" w:rsidP="00BA2987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Teaching methods</w:t>
            </w:r>
          </w:p>
          <w:p w14:paraId="5EA2031F" w14:textId="77777777" w:rsidR="00973D23" w:rsidRPr="000C63C2" w:rsidRDefault="00973D23" w:rsidP="00210A2F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85E9F8C" w14:textId="77777777" w:rsidR="00147D8C" w:rsidRPr="000C63C2" w:rsidRDefault="00CB0246" w:rsidP="00210A2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 xml:space="preserve">Seminar </w:t>
            </w:r>
          </w:p>
          <w:p w14:paraId="311B64D3" w14:textId="77777777" w:rsidR="00953F5A" w:rsidRPr="000C63C2" w:rsidRDefault="00953F5A" w:rsidP="00DC0F2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02F7B784" w14:textId="77777777" w:rsidR="00973D23" w:rsidRPr="000C63C2" w:rsidRDefault="006F17B2" w:rsidP="00BF1038">
            <w:pPr>
              <w:ind w:left="356" w:hanging="356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Form and method of assessment</w:t>
            </w:r>
            <w:r w:rsidR="00BF1038" w:rsidRPr="000C63C2">
              <w:rPr>
                <w:b/>
                <w:sz w:val="22"/>
                <w:szCs w:val="22"/>
                <w:lang w:val="en-US"/>
              </w:rPr>
              <w:t xml:space="preserve"> and basic criteria for evaluation or examination requirements </w:t>
            </w:r>
          </w:p>
        </w:tc>
      </w:tr>
      <w:tr w:rsidR="00171F69" w:rsidRPr="00214480" w14:paraId="212C9C49" w14:textId="77777777" w:rsidTr="00070A9B">
        <w:trPr>
          <w:trHeight w:val="602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75B506D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5529084A" w14:textId="77777777" w:rsidR="00973D23" w:rsidRPr="000C63C2" w:rsidRDefault="00F52157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A. Final evaluation</w:t>
            </w:r>
            <w:r w:rsidR="00973D23" w:rsidRPr="000C63C2">
              <w:rPr>
                <w:b/>
                <w:sz w:val="22"/>
                <w:szCs w:val="22"/>
                <w:lang w:val="en-US"/>
              </w:rPr>
              <w:t>,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in accordance with </w:t>
            </w:r>
            <w:r w:rsidR="001A1E8A" w:rsidRPr="000C63C2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C63C2">
              <w:rPr>
                <w:b/>
                <w:sz w:val="22"/>
                <w:szCs w:val="22"/>
                <w:lang w:val="en-US"/>
              </w:rPr>
              <w:t xml:space="preserve">UG study regulations </w:t>
            </w:r>
          </w:p>
          <w:p w14:paraId="222FDC8C" w14:textId="77777777" w:rsidR="00973D23" w:rsidRPr="000C63C2" w:rsidRDefault="006C7012" w:rsidP="00453F1E">
            <w:pPr>
              <w:ind w:left="356"/>
              <w:rPr>
                <w:sz w:val="22"/>
                <w:szCs w:val="22"/>
                <w:lang w:val="en-US"/>
              </w:rPr>
            </w:pPr>
            <w:r w:rsidRPr="00092FBC">
              <w:rPr>
                <w:sz w:val="22"/>
                <w:szCs w:val="22"/>
                <w:lang w:val="en-US"/>
              </w:rPr>
              <w:t>course completion (with a grade)</w:t>
            </w:r>
          </w:p>
        </w:tc>
      </w:tr>
      <w:tr w:rsidR="00171F69" w:rsidRPr="00214480" w14:paraId="59ECC880" w14:textId="77777777" w:rsidTr="00006C93">
        <w:trPr>
          <w:trHeight w:val="963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74638D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571BF98E" w14:textId="77777777" w:rsidR="00973D23" w:rsidRPr="000C63C2" w:rsidRDefault="00F52157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B. Assessment methods</w:t>
            </w:r>
          </w:p>
          <w:p w14:paraId="6741948D" w14:textId="77777777" w:rsidR="00953F5A" w:rsidRPr="000C63C2" w:rsidRDefault="00147D8C" w:rsidP="00DC0F20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Writing test</w:t>
            </w:r>
            <w:r w:rsidR="00070A9B" w:rsidRPr="000C63C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71F69" w:rsidRPr="00214480" w14:paraId="78A89B1F" w14:textId="77777777" w:rsidTr="0064605C">
        <w:trPr>
          <w:trHeight w:val="799"/>
        </w:trPr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BD4CA30" w14:textId="77777777" w:rsidR="00973D23" w:rsidRPr="000C63C2" w:rsidRDefault="00973D23" w:rsidP="00B330C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5D5D7EA9" w14:textId="77777777" w:rsidR="00973D23" w:rsidRPr="000C63C2" w:rsidRDefault="006F17B2" w:rsidP="00B330C7">
            <w:pPr>
              <w:ind w:left="356" w:hanging="356"/>
              <w:rPr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C. The b</w:t>
            </w:r>
            <w:r w:rsidR="00B55362" w:rsidRPr="000C63C2">
              <w:rPr>
                <w:b/>
                <w:sz w:val="22"/>
                <w:szCs w:val="22"/>
                <w:lang w:val="en-US"/>
              </w:rPr>
              <w:t>asic criteria for evaluation</w:t>
            </w:r>
            <w:r w:rsidR="0079774D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  <w:r w:rsidR="00973D23" w:rsidRPr="000C63C2">
              <w:rPr>
                <w:sz w:val="22"/>
                <w:szCs w:val="22"/>
                <w:lang w:val="en-US"/>
              </w:rPr>
              <w:t>o</w:t>
            </w:r>
            <w:r w:rsidR="00B55362" w:rsidRPr="000C63C2">
              <w:rPr>
                <w:sz w:val="22"/>
                <w:szCs w:val="22"/>
                <w:lang w:val="en-US"/>
              </w:rPr>
              <w:t xml:space="preserve">r exam requirements </w:t>
            </w:r>
          </w:p>
          <w:p w14:paraId="66D0F089" w14:textId="77777777" w:rsidR="00147D8C" w:rsidRPr="0064605C" w:rsidRDefault="00147D8C" w:rsidP="0064605C">
            <w:pPr>
              <w:ind w:left="129"/>
              <w:rPr>
                <w:sz w:val="22"/>
                <w:szCs w:val="22"/>
                <w:lang w:val="en-GB"/>
              </w:rPr>
            </w:pPr>
            <w:r w:rsidRPr="000C63C2">
              <w:rPr>
                <w:sz w:val="22"/>
                <w:szCs w:val="22"/>
                <w:lang w:val="en-GB"/>
              </w:rPr>
              <w:t>Evaluation criteria in accordance with the UG Studies Regulations;</w:t>
            </w:r>
          </w:p>
        </w:tc>
      </w:tr>
      <w:tr w:rsidR="00171F69" w:rsidRPr="00214480" w14:paraId="59AC9D58" w14:textId="77777777" w:rsidTr="007C1DA6">
        <w:trPr>
          <w:trHeight w:val="582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3EEEB" w14:textId="77777777" w:rsidR="00241721" w:rsidRPr="000C63C2" w:rsidRDefault="003E266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 xml:space="preserve">Required courses and introductory requirements </w:t>
            </w:r>
          </w:p>
          <w:p w14:paraId="6A01948C" w14:textId="77777777" w:rsidR="00241721" w:rsidRPr="000C63C2" w:rsidRDefault="00147D8C" w:rsidP="0089258F">
            <w:pPr>
              <w:rPr>
                <w:sz w:val="22"/>
                <w:szCs w:val="22"/>
                <w:lang w:val="en-US"/>
              </w:rPr>
            </w:pPr>
            <w:r w:rsidRPr="000C63C2">
              <w:rPr>
                <w:sz w:val="22"/>
                <w:szCs w:val="22"/>
                <w:lang w:val="en-GB"/>
              </w:rPr>
              <w:t>no requirements</w:t>
            </w:r>
          </w:p>
        </w:tc>
      </w:tr>
      <w:tr w:rsidR="00171F69" w:rsidRPr="00214480" w14:paraId="79DC7BAA" w14:textId="77777777" w:rsidTr="00070A9B">
        <w:trPr>
          <w:trHeight w:val="90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1D14AE" w14:textId="77777777" w:rsidR="00241721" w:rsidRPr="000C63C2" w:rsidRDefault="006A37B8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Aims of education</w:t>
            </w:r>
          </w:p>
          <w:p w14:paraId="4CAF3DA3" w14:textId="77777777" w:rsidR="00ED2DC6" w:rsidRPr="000C63C2" w:rsidRDefault="00CB0246" w:rsidP="00CB0246">
            <w:pPr>
              <w:rPr>
                <w:sz w:val="22"/>
                <w:szCs w:val="22"/>
                <w:lang w:val="en-GB"/>
              </w:rPr>
            </w:pPr>
            <w:r w:rsidRPr="00CB0246">
              <w:rPr>
                <w:sz w:val="22"/>
                <w:szCs w:val="22"/>
                <w:lang w:val="en-GB"/>
              </w:rPr>
              <w:t>Systematic nomenclature of coordination chemistry.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CB0246">
              <w:rPr>
                <w:sz w:val="22"/>
                <w:szCs w:val="22"/>
                <w:lang w:val="en-GB"/>
              </w:rPr>
              <w:t>Application of known theories to explain problems of stereochemistry, spectroscopic properties and magnetic coordination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CB0246">
              <w:rPr>
                <w:sz w:val="22"/>
                <w:szCs w:val="22"/>
                <w:lang w:val="en-GB"/>
              </w:rPr>
              <w:t>compounds.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CB0246">
              <w:rPr>
                <w:sz w:val="22"/>
                <w:szCs w:val="22"/>
                <w:lang w:val="en-GB"/>
              </w:rPr>
              <w:t>Introduction to the subject matter related to the interpretation of the electronic absorption spectra of the coordination compounds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CB0246">
              <w:rPr>
                <w:sz w:val="22"/>
                <w:szCs w:val="22"/>
                <w:lang w:val="en-GB"/>
              </w:rPr>
              <w:t>of d-block metals based on the parameters of Slater-Condon-Shortley and Racah.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CB0246">
              <w:rPr>
                <w:sz w:val="22"/>
                <w:szCs w:val="22"/>
                <w:lang w:val="en-GB"/>
              </w:rPr>
              <w:t>Application of the molecular orbital theory to the description of bonds in complexes.</w:t>
            </w:r>
          </w:p>
        </w:tc>
      </w:tr>
      <w:tr w:rsidR="00171F69" w:rsidRPr="00214480" w14:paraId="71C7CB2C" w14:textId="77777777" w:rsidTr="00F90DE5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126B7" w14:textId="77777777" w:rsidR="00D47121" w:rsidRPr="000C63C2" w:rsidRDefault="006A37B8" w:rsidP="00AD070D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Course contents</w:t>
            </w:r>
          </w:p>
          <w:p w14:paraId="67B6FAFE" w14:textId="77777777" w:rsidR="00001C8A" w:rsidRPr="000C63C2" w:rsidRDefault="00CB0246" w:rsidP="00CB0246">
            <w:pPr>
              <w:rPr>
                <w:sz w:val="22"/>
                <w:szCs w:val="22"/>
                <w:lang w:val="en-US"/>
              </w:rPr>
            </w:pPr>
            <w:r w:rsidRPr="00CB0246">
              <w:rPr>
                <w:sz w:val="22"/>
                <w:szCs w:val="22"/>
                <w:lang w:val="en-US"/>
              </w:rPr>
              <w:t>Introduction to Coordination Chemistry: survey of coordination numbers; stereochemistry, ligand types; dn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configurations;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elementary bonding theories; structure determination; nomenclature. Structural and Stereoisomerism: types of structural isomers;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types of stereoisomers (cis and trans; mer and fac; sym and asym; optical isomers). Symmetry and Point Groups: determination of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symmetry elements and operations; molecular point group determination; symmetry and dipole moment and chirality. Synthetic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Reactions: addition, substitution, dissociation, redox, and reactions of coordinated ligands; catalytic processes; inertness and lability;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chelate effect; trans-effect; reactions in non-aqueous media. Crystal field theory: Magnetic properties and CF stabilization energy;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 xml:space="preserve">electronic </w:t>
            </w:r>
            <w:r w:rsidRPr="00CB0246">
              <w:rPr>
                <w:sz w:val="22"/>
                <w:szCs w:val="22"/>
                <w:lang w:val="en-US"/>
              </w:rPr>
              <w:lastRenderedPageBreak/>
              <w:t>absorption spectra; spectrochemical series; Jahn-Teller effect; thermodynamics and crystal field effects. Term symbols.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Slater-condon parameters for atoms and ions of the first transition period. Special Topics in Coordination Chemistry: metal-metal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bonds; solar energy conversion. Calculations using Orgel diagrams, Explain the difference between Orgel and Tanabe-Sugano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diagrams. Mechanisms of ligand substitutions, small molecule activation and transition metal-catalysed reactions will be discussed</w:t>
            </w:r>
          </w:p>
        </w:tc>
      </w:tr>
      <w:tr w:rsidR="00171F69" w:rsidRPr="00214480" w14:paraId="18DF68CC" w14:textId="77777777" w:rsidTr="004C0CF8">
        <w:trPr>
          <w:trHeight w:val="1095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A3C37" w14:textId="77777777" w:rsidR="00241721" w:rsidRPr="000C63C2" w:rsidRDefault="006F17B2" w:rsidP="00B330C7">
            <w:pPr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lastRenderedPageBreak/>
              <w:t>Bibliography of l</w:t>
            </w:r>
            <w:r w:rsidR="006A37B8" w:rsidRPr="000C63C2">
              <w:rPr>
                <w:b/>
                <w:sz w:val="22"/>
                <w:szCs w:val="22"/>
                <w:lang w:val="en-US"/>
              </w:rPr>
              <w:t>iterature</w:t>
            </w:r>
            <w:r w:rsidR="00241721" w:rsidRPr="000C63C2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2174CCBE" w14:textId="77777777" w:rsidR="00383B0B" w:rsidRPr="00383B0B" w:rsidRDefault="00CB0246" w:rsidP="00383B0B">
            <w:pPr>
              <w:rPr>
                <w:sz w:val="22"/>
                <w:szCs w:val="22"/>
                <w:lang w:val="en-US"/>
              </w:rPr>
            </w:pPr>
            <w:r w:rsidRPr="00CB0246">
              <w:rPr>
                <w:sz w:val="22"/>
                <w:szCs w:val="22"/>
                <w:lang w:val="en-US"/>
              </w:rPr>
              <w:t>Coordination Chemistry Reviews</w:t>
            </w:r>
          </w:p>
        </w:tc>
      </w:tr>
      <w:tr w:rsidR="00171F69" w:rsidRPr="00214480" w14:paraId="1228AD7F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4106F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Knowledge</w:t>
            </w:r>
          </w:p>
          <w:p w14:paraId="75B7403F" w14:textId="77777777" w:rsidR="00070A9B" w:rsidRPr="00997D7C" w:rsidRDefault="00CB0246" w:rsidP="00CB0246">
            <w:pPr>
              <w:jc w:val="both"/>
              <w:rPr>
                <w:sz w:val="22"/>
                <w:szCs w:val="22"/>
                <w:lang w:val="en-US"/>
              </w:rPr>
            </w:pPr>
            <w:r w:rsidRPr="00CB0246">
              <w:rPr>
                <w:sz w:val="22"/>
                <w:szCs w:val="22"/>
                <w:lang w:val="en-US"/>
              </w:rPr>
              <w:t>By the end of the course, the student must be able to: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Recall typical ligands; name typical coordination compounds and describe their geometry Judge the existence of isomers and draw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such isomers; Calculate the oxidation states of metals and the number of d electrons.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Apply soft-hard acid-base theory to predict the stability of complexes; interpret chelate effect; determine the relative stability of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complexes according to structural factors.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Deduce the crystal field splitting diagram for octahedral, tetrahedral, and square planar complexes; decide the electronic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configuration. Generate the ligand field diagram for octahedral complexes.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Decide if a complex is high spin or low spin using ligand field theory; understand and explain the spectrochemical series.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Estimate the spin-only magnetic moment of complexes according to ligand field theory; Determine whether an electronic transition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is allowed and the intensity of such transition.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Describe various metal-ligand interactions in terms of sigma- and pi-bonding interactions.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Explain the stability of d-metal complexes, their reactivity, and the mechanisms of ligand substitution reactions</w:t>
            </w:r>
          </w:p>
        </w:tc>
      </w:tr>
      <w:tr w:rsidR="00171F69" w:rsidRPr="00214480" w14:paraId="553F0935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4974F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Skills</w:t>
            </w:r>
          </w:p>
          <w:p w14:paraId="087D980E" w14:textId="77777777" w:rsidR="00006C93" w:rsidRPr="000C63C2" w:rsidRDefault="00CB0246" w:rsidP="00CB0246">
            <w:pPr>
              <w:jc w:val="both"/>
              <w:rPr>
                <w:sz w:val="22"/>
                <w:szCs w:val="22"/>
                <w:lang w:val="en-US"/>
              </w:rPr>
            </w:pPr>
            <w:r w:rsidRPr="00CB0246">
              <w:rPr>
                <w:sz w:val="22"/>
                <w:szCs w:val="22"/>
                <w:lang w:val="en-US"/>
              </w:rPr>
              <w:t>Skills to solve problems related to coordination chemistry.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Skills to solve problems related to structural coordination chemistry.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Skills to solve problems related to the reactivity of complex compounds.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Skills to solve problems associated with spectroscopy and magnetism in complexes.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The general skills that should be acquired by the student and in which the course aims at are: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Search, analysis and synthesis of data and information and making decisions.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Turning theory into practice.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Promotion of free, creative and inductive thinking.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Independent and teamwork.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Acquisition of the appropriate theoretical and practical knowledge base to enable the further training both in theory (in more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specific subjects of Coordination Chemistry) and in laboratory.</w:t>
            </w:r>
          </w:p>
        </w:tc>
      </w:tr>
      <w:tr w:rsidR="00171F69" w:rsidRPr="00CB0246" w14:paraId="0B243F10" w14:textId="77777777" w:rsidTr="00070A9B">
        <w:trPr>
          <w:trHeight w:val="139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111F7" w14:textId="77777777" w:rsidR="00070A9B" w:rsidRPr="000C63C2" w:rsidRDefault="00070A9B" w:rsidP="00070A9B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0C63C2">
              <w:rPr>
                <w:b/>
                <w:sz w:val="22"/>
                <w:szCs w:val="22"/>
                <w:lang w:val="en-US"/>
              </w:rPr>
              <w:t>Social competence</w:t>
            </w:r>
          </w:p>
          <w:p w14:paraId="372B1729" w14:textId="77777777" w:rsidR="00070A9B" w:rsidRPr="000C63C2" w:rsidRDefault="00CB0246" w:rsidP="00CB0246">
            <w:pPr>
              <w:jc w:val="both"/>
              <w:rPr>
                <w:sz w:val="22"/>
                <w:szCs w:val="22"/>
                <w:lang w:val="en-US"/>
              </w:rPr>
            </w:pPr>
            <w:r w:rsidRPr="00CB0246">
              <w:rPr>
                <w:sz w:val="22"/>
                <w:szCs w:val="22"/>
                <w:lang w:val="en-US"/>
              </w:rPr>
              <w:t>Search for, analysis and synthesis of data and information, with the use of the necessary technology.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Adapting to new situations.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Decision-making.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Working independently.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Team work.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Working in an interdisciplinary environment.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Production of new research ideas.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Showing social, professional and ethical responsibility criticism and self-criticism.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B0246">
              <w:rPr>
                <w:sz w:val="22"/>
                <w:szCs w:val="22"/>
                <w:lang w:val="en-US"/>
              </w:rPr>
              <w:t>Production of free, creative and inductive thinking</w:t>
            </w:r>
          </w:p>
        </w:tc>
      </w:tr>
    </w:tbl>
    <w:p w14:paraId="08940103" w14:textId="77777777" w:rsidR="00241721" w:rsidRPr="000C63C2" w:rsidRDefault="00241721" w:rsidP="00241721">
      <w:pPr>
        <w:spacing w:before="240" w:after="120"/>
        <w:rPr>
          <w:b/>
          <w:sz w:val="22"/>
          <w:szCs w:val="22"/>
          <w:lang w:val="en-US"/>
        </w:rPr>
      </w:pPr>
    </w:p>
    <w:sectPr w:rsidR="00241721" w:rsidRPr="000C63C2" w:rsidSect="001A68A8">
      <w:headerReference w:type="default" r:id="rId8"/>
      <w:footerReference w:type="default" r:id="rId9"/>
      <w:pgSz w:w="11906" w:h="16838"/>
      <w:pgMar w:top="68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9EBB" w14:textId="77777777" w:rsidR="004F6720" w:rsidRDefault="004F6720" w:rsidP="00941E09">
      <w:r>
        <w:separator/>
      </w:r>
    </w:p>
  </w:endnote>
  <w:endnote w:type="continuationSeparator" w:id="0">
    <w:p w14:paraId="55C50AFB" w14:textId="77777777" w:rsidR="004F6720" w:rsidRDefault="004F6720" w:rsidP="0094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ADB0" w14:textId="77777777" w:rsidR="00794F9A" w:rsidRPr="00AA1195" w:rsidRDefault="00AA1195" w:rsidP="0079774D">
    <w:pPr>
      <w:pStyle w:val="Stopka"/>
      <w:jc w:val="center"/>
      <w:rPr>
        <w:rFonts w:ascii="Cambria" w:hAnsi="Cambria" w:cs="Arial"/>
        <w:color w:val="808080" w:themeColor="background1" w:themeShade="80"/>
        <w:sz w:val="18"/>
        <w:szCs w:val="16"/>
      </w:rPr>
    </w:pPr>
    <w:r w:rsidRPr="00AA1195">
      <w:rPr>
        <w:rFonts w:ascii="Cambria" w:hAnsi="Cambria" w:cs="Arial"/>
        <w:color w:val="808080" w:themeColor="background1" w:themeShade="80"/>
        <w:sz w:val="18"/>
        <w:szCs w:val="16"/>
      </w:rPr>
      <w:t xml:space="preserve">- </w: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begin"/>
    </w:r>
    <w:r w:rsidRPr="00AA1195">
      <w:rPr>
        <w:rFonts w:ascii="Cambria" w:hAnsi="Cambria" w:cs="Arial"/>
        <w:color w:val="808080" w:themeColor="background1" w:themeShade="80"/>
        <w:sz w:val="18"/>
        <w:szCs w:val="16"/>
      </w:rPr>
      <w:instrText xml:space="preserve"> PAGE   \* MERGEFORMAT </w:instrText>
    </w:r>
    <w:r w:rsidR="00762A22" w:rsidRPr="00AA1195">
      <w:rPr>
        <w:rFonts w:ascii="Cambria" w:hAnsi="Cambria" w:cs="Arial"/>
        <w:color w:val="808080" w:themeColor="background1" w:themeShade="80"/>
        <w:sz w:val="18"/>
        <w:szCs w:val="16"/>
      </w:rPr>
      <w:fldChar w:fldCharType="separate"/>
    </w:r>
    <w:r w:rsidR="000F6B50">
      <w:rPr>
        <w:rFonts w:ascii="Cambria" w:hAnsi="Cambria" w:cs="Arial"/>
        <w:noProof/>
        <w:color w:val="808080" w:themeColor="background1" w:themeShade="80"/>
        <w:sz w:val="18"/>
        <w:szCs w:val="16"/>
      </w:rPr>
      <w:t>2</w:t>
    </w:r>
    <w:r w:rsidR="00762A22"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fldChar w:fldCharType="end"/>
    </w:r>
    <w:r w:rsidRPr="00AA1195">
      <w:rPr>
        <w:rFonts w:ascii="Cambria" w:hAnsi="Cambria" w:cs="Arial"/>
        <w:noProof/>
        <w:color w:val="808080" w:themeColor="background1" w:themeShade="80"/>
        <w:sz w:val="18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2D59" w14:textId="77777777" w:rsidR="004F6720" w:rsidRDefault="004F6720" w:rsidP="00941E09">
      <w:r>
        <w:separator/>
      </w:r>
    </w:p>
  </w:footnote>
  <w:footnote w:type="continuationSeparator" w:id="0">
    <w:p w14:paraId="0ED77409" w14:textId="77777777" w:rsidR="004F6720" w:rsidRDefault="004F6720" w:rsidP="0094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16F7" w14:textId="77777777" w:rsidR="00BD7EF1" w:rsidRPr="00AA1195" w:rsidRDefault="00BD7EF1" w:rsidP="00BD7EF1">
    <w:pPr>
      <w:pStyle w:val="Nagwek"/>
      <w:tabs>
        <w:tab w:val="clear" w:pos="4536"/>
        <w:tab w:val="center" w:pos="4820"/>
      </w:tabs>
      <w:rPr>
        <w:color w:val="808080" w:themeColor="background1" w:themeShade="80"/>
      </w:rPr>
    </w:pPr>
    <w:r w:rsidRPr="00AA1195">
      <w:rPr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01D55712" wp14:editId="707A03B6">
          <wp:simplePos x="0" y="0"/>
          <wp:positionH relativeFrom="column">
            <wp:posOffset>2811145</wp:posOffset>
          </wp:positionH>
          <wp:positionV relativeFrom="paragraph">
            <wp:posOffset>139304</wp:posOffset>
          </wp:positionV>
          <wp:extent cx="500380" cy="359410"/>
          <wp:effectExtent l="0" t="0" r="0" b="2540"/>
          <wp:wrapNone/>
          <wp:docPr id="7" name="Obraz 1" descr="logo UG 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G b_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3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1195">
      <w:rPr>
        <w:color w:val="808080" w:themeColor="background1" w:themeShade="80"/>
      </w:rPr>
      <w:ptab w:relativeTo="margin" w:alignment="center" w:leader="none"/>
    </w:r>
    <w:r w:rsidRPr="00AA1195">
      <w:rPr>
        <w:color w:val="808080" w:themeColor="background1" w:themeShade="80"/>
      </w:rPr>
      <w:ptab w:relativeTo="margin" w:alignment="right" w:leader="none"/>
    </w:r>
  </w:p>
  <w:p w14:paraId="3803C1F2" w14:textId="77777777" w:rsidR="00BD7EF1" w:rsidRPr="00AA1195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03342DF2" w14:textId="77777777" w:rsidR="00BD7EF1" w:rsidRDefault="00BD7EF1" w:rsidP="00BD7EF1">
    <w:pPr>
      <w:pStyle w:val="Nagwek"/>
      <w:jc w:val="center"/>
      <w:rPr>
        <w:b/>
        <w:i/>
        <w:color w:val="808080" w:themeColor="background1" w:themeShade="80"/>
        <w:sz w:val="20"/>
      </w:rPr>
    </w:pPr>
  </w:p>
  <w:p w14:paraId="03D345E7" w14:textId="77777777" w:rsidR="00265EB9" w:rsidRPr="00265EB9" w:rsidRDefault="00265EB9" w:rsidP="00BD7EF1">
    <w:pPr>
      <w:pStyle w:val="Nagwek"/>
      <w:jc w:val="center"/>
      <w:rPr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F22"/>
    <w:multiLevelType w:val="hybridMultilevel"/>
    <w:tmpl w:val="6A0E08A6"/>
    <w:lvl w:ilvl="0" w:tplc="BABE950C">
      <w:start w:val="1"/>
      <w:numFmt w:val="upperLetter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169509F8"/>
    <w:multiLevelType w:val="hybridMultilevel"/>
    <w:tmpl w:val="E8CEA338"/>
    <w:lvl w:ilvl="0" w:tplc="605E7200">
      <w:start w:val="1"/>
      <w:numFmt w:val="upperLetter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 w16cid:durableId="1020667120">
    <w:abstractNumId w:val="0"/>
  </w:num>
  <w:num w:numId="2" w16cid:durableId="3635988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bQwNjA3NDAyNjVR0lEKTi0uzszPAykwrgUAAKKDdywAAAA="/>
  </w:docVars>
  <w:rsids>
    <w:rsidRoot w:val="00241721"/>
    <w:rsid w:val="00001C8A"/>
    <w:rsid w:val="00003A3F"/>
    <w:rsid w:val="000055AA"/>
    <w:rsid w:val="000066A6"/>
    <w:rsid w:val="00006C93"/>
    <w:rsid w:val="000301F0"/>
    <w:rsid w:val="000579BC"/>
    <w:rsid w:val="000608A3"/>
    <w:rsid w:val="00070A9B"/>
    <w:rsid w:val="00072F1A"/>
    <w:rsid w:val="00094EBE"/>
    <w:rsid w:val="000A07C2"/>
    <w:rsid w:val="000A4010"/>
    <w:rsid w:val="000A46AF"/>
    <w:rsid w:val="000A660C"/>
    <w:rsid w:val="000C63C2"/>
    <w:rsid w:val="000E2B97"/>
    <w:rsid w:val="000E3726"/>
    <w:rsid w:val="000F2A8E"/>
    <w:rsid w:val="000F6B50"/>
    <w:rsid w:val="00115DF5"/>
    <w:rsid w:val="00142223"/>
    <w:rsid w:val="00145F4C"/>
    <w:rsid w:val="0014617F"/>
    <w:rsid w:val="00147D8C"/>
    <w:rsid w:val="00154970"/>
    <w:rsid w:val="001651DC"/>
    <w:rsid w:val="00171F69"/>
    <w:rsid w:val="0017654F"/>
    <w:rsid w:val="00177B43"/>
    <w:rsid w:val="001979AC"/>
    <w:rsid w:val="001A1E8A"/>
    <w:rsid w:val="001A38C8"/>
    <w:rsid w:val="001A68A8"/>
    <w:rsid w:val="001B0900"/>
    <w:rsid w:val="001C4432"/>
    <w:rsid w:val="001D5371"/>
    <w:rsid w:val="001E0A93"/>
    <w:rsid w:val="001E4534"/>
    <w:rsid w:val="001F038B"/>
    <w:rsid w:val="001F1328"/>
    <w:rsid w:val="00205923"/>
    <w:rsid w:val="00210A2F"/>
    <w:rsid w:val="002118D9"/>
    <w:rsid w:val="002141DE"/>
    <w:rsid w:val="00214480"/>
    <w:rsid w:val="002158FC"/>
    <w:rsid w:val="002241B7"/>
    <w:rsid w:val="00225937"/>
    <w:rsid w:val="00226C55"/>
    <w:rsid w:val="0023459E"/>
    <w:rsid w:val="00241721"/>
    <w:rsid w:val="002605CE"/>
    <w:rsid w:val="00265EB9"/>
    <w:rsid w:val="00270A4C"/>
    <w:rsid w:val="00271A3A"/>
    <w:rsid w:val="00271FBB"/>
    <w:rsid w:val="00273F03"/>
    <w:rsid w:val="00290F46"/>
    <w:rsid w:val="002A2E8A"/>
    <w:rsid w:val="002D1C12"/>
    <w:rsid w:val="002E6D3F"/>
    <w:rsid w:val="002F1093"/>
    <w:rsid w:val="002F3125"/>
    <w:rsid w:val="002F7DF7"/>
    <w:rsid w:val="00307AD1"/>
    <w:rsid w:val="0031497A"/>
    <w:rsid w:val="00315902"/>
    <w:rsid w:val="003175BC"/>
    <w:rsid w:val="00321495"/>
    <w:rsid w:val="00322FF3"/>
    <w:rsid w:val="00345929"/>
    <w:rsid w:val="0037138B"/>
    <w:rsid w:val="00373E52"/>
    <w:rsid w:val="00383B0B"/>
    <w:rsid w:val="00393900"/>
    <w:rsid w:val="003968EC"/>
    <w:rsid w:val="00397563"/>
    <w:rsid w:val="003A5287"/>
    <w:rsid w:val="003B13F9"/>
    <w:rsid w:val="003B40D7"/>
    <w:rsid w:val="003C1888"/>
    <w:rsid w:val="003D5BF2"/>
    <w:rsid w:val="003E2662"/>
    <w:rsid w:val="003E6429"/>
    <w:rsid w:val="0040012F"/>
    <w:rsid w:val="004037C8"/>
    <w:rsid w:val="00410C33"/>
    <w:rsid w:val="00411FF8"/>
    <w:rsid w:val="004306A1"/>
    <w:rsid w:val="00453F1E"/>
    <w:rsid w:val="0048100E"/>
    <w:rsid w:val="00485C42"/>
    <w:rsid w:val="00487AB5"/>
    <w:rsid w:val="004A19EF"/>
    <w:rsid w:val="004A27BA"/>
    <w:rsid w:val="004B491C"/>
    <w:rsid w:val="004B6FA5"/>
    <w:rsid w:val="004B7B65"/>
    <w:rsid w:val="004C0CF8"/>
    <w:rsid w:val="004C756C"/>
    <w:rsid w:val="004E2490"/>
    <w:rsid w:val="004F6720"/>
    <w:rsid w:val="004F7945"/>
    <w:rsid w:val="00501F58"/>
    <w:rsid w:val="00506C86"/>
    <w:rsid w:val="00526196"/>
    <w:rsid w:val="005431D0"/>
    <w:rsid w:val="00560294"/>
    <w:rsid w:val="0057541A"/>
    <w:rsid w:val="005817E6"/>
    <w:rsid w:val="00593EB9"/>
    <w:rsid w:val="005945B6"/>
    <w:rsid w:val="005B566B"/>
    <w:rsid w:val="005C4854"/>
    <w:rsid w:val="005E2330"/>
    <w:rsid w:val="005E3A42"/>
    <w:rsid w:val="00617BB5"/>
    <w:rsid w:val="00620A9A"/>
    <w:rsid w:val="00620EEF"/>
    <w:rsid w:val="00624DC6"/>
    <w:rsid w:val="00625373"/>
    <w:rsid w:val="0064605C"/>
    <w:rsid w:val="006602B5"/>
    <w:rsid w:val="0066480A"/>
    <w:rsid w:val="00670F4B"/>
    <w:rsid w:val="00676A27"/>
    <w:rsid w:val="00677F13"/>
    <w:rsid w:val="00680440"/>
    <w:rsid w:val="006849B0"/>
    <w:rsid w:val="00695878"/>
    <w:rsid w:val="00697075"/>
    <w:rsid w:val="006A0AD9"/>
    <w:rsid w:val="006A37B8"/>
    <w:rsid w:val="006B121A"/>
    <w:rsid w:val="006B1D12"/>
    <w:rsid w:val="006B366A"/>
    <w:rsid w:val="006B6509"/>
    <w:rsid w:val="006C1ABB"/>
    <w:rsid w:val="006C7012"/>
    <w:rsid w:val="006D165E"/>
    <w:rsid w:val="006D6880"/>
    <w:rsid w:val="006E430A"/>
    <w:rsid w:val="006F17B2"/>
    <w:rsid w:val="00703D34"/>
    <w:rsid w:val="00705274"/>
    <w:rsid w:val="0072323E"/>
    <w:rsid w:val="00731BCA"/>
    <w:rsid w:val="00733703"/>
    <w:rsid w:val="007371A3"/>
    <w:rsid w:val="00747738"/>
    <w:rsid w:val="007527BE"/>
    <w:rsid w:val="007561DD"/>
    <w:rsid w:val="007577E8"/>
    <w:rsid w:val="00762A22"/>
    <w:rsid w:val="00763DAF"/>
    <w:rsid w:val="0077363C"/>
    <w:rsid w:val="00791D37"/>
    <w:rsid w:val="00794F9A"/>
    <w:rsid w:val="0079774D"/>
    <w:rsid w:val="007A23E5"/>
    <w:rsid w:val="007C0A10"/>
    <w:rsid w:val="007C1DA6"/>
    <w:rsid w:val="007D12CE"/>
    <w:rsid w:val="007D50AD"/>
    <w:rsid w:val="007F330E"/>
    <w:rsid w:val="008109EE"/>
    <w:rsid w:val="008122C2"/>
    <w:rsid w:val="008211E6"/>
    <w:rsid w:val="00822F50"/>
    <w:rsid w:val="00825F01"/>
    <w:rsid w:val="00870A74"/>
    <w:rsid w:val="00872223"/>
    <w:rsid w:val="00872DA4"/>
    <w:rsid w:val="008735C8"/>
    <w:rsid w:val="0087514C"/>
    <w:rsid w:val="008832D6"/>
    <w:rsid w:val="0089258F"/>
    <w:rsid w:val="00897260"/>
    <w:rsid w:val="008A0701"/>
    <w:rsid w:val="008A53D0"/>
    <w:rsid w:val="008A67FA"/>
    <w:rsid w:val="008B7B2B"/>
    <w:rsid w:val="008C053D"/>
    <w:rsid w:val="008D1E04"/>
    <w:rsid w:val="008F5D9A"/>
    <w:rsid w:val="009070AA"/>
    <w:rsid w:val="0090787B"/>
    <w:rsid w:val="00924E54"/>
    <w:rsid w:val="00937DD4"/>
    <w:rsid w:val="00941E09"/>
    <w:rsid w:val="00953F5A"/>
    <w:rsid w:val="00954D6C"/>
    <w:rsid w:val="00955A73"/>
    <w:rsid w:val="00962A4B"/>
    <w:rsid w:val="009650EB"/>
    <w:rsid w:val="00965715"/>
    <w:rsid w:val="00965A3A"/>
    <w:rsid w:val="00967774"/>
    <w:rsid w:val="00973D23"/>
    <w:rsid w:val="009773BE"/>
    <w:rsid w:val="009818D4"/>
    <w:rsid w:val="00982163"/>
    <w:rsid w:val="0098608D"/>
    <w:rsid w:val="00993F23"/>
    <w:rsid w:val="00997D7C"/>
    <w:rsid w:val="009A20EF"/>
    <w:rsid w:val="009A24AB"/>
    <w:rsid w:val="009A3F76"/>
    <w:rsid w:val="009E3F36"/>
    <w:rsid w:val="009F151A"/>
    <w:rsid w:val="009F5463"/>
    <w:rsid w:val="009F6101"/>
    <w:rsid w:val="00A02E16"/>
    <w:rsid w:val="00A05716"/>
    <w:rsid w:val="00A13C6F"/>
    <w:rsid w:val="00A15050"/>
    <w:rsid w:val="00A15F9B"/>
    <w:rsid w:val="00A20758"/>
    <w:rsid w:val="00A24A90"/>
    <w:rsid w:val="00A4324F"/>
    <w:rsid w:val="00A45F95"/>
    <w:rsid w:val="00A47702"/>
    <w:rsid w:val="00A47D1D"/>
    <w:rsid w:val="00A6323E"/>
    <w:rsid w:val="00A6663A"/>
    <w:rsid w:val="00A81679"/>
    <w:rsid w:val="00A83A67"/>
    <w:rsid w:val="00A86280"/>
    <w:rsid w:val="00AA1195"/>
    <w:rsid w:val="00AA125D"/>
    <w:rsid w:val="00AA5F76"/>
    <w:rsid w:val="00AA6C21"/>
    <w:rsid w:val="00AC25DD"/>
    <w:rsid w:val="00AC7F71"/>
    <w:rsid w:val="00AD070D"/>
    <w:rsid w:val="00AD42A4"/>
    <w:rsid w:val="00AE2DA1"/>
    <w:rsid w:val="00AF2C86"/>
    <w:rsid w:val="00B0087C"/>
    <w:rsid w:val="00B10958"/>
    <w:rsid w:val="00B11B80"/>
    <w:rsid w:val="00B13321"/>
    <w:rsid w:val="00B2454E"/>
    <w:rsid w:val="00B24C3B"/>
    <w:rsid w:val="00B25D70"/>
    <w:rsid w:val="00B330C7"/>
    <w:rsid w:val="00B34566"/>
    <w:rsid w:val="00B41E0B"/>
    <w:rsid w:val="00B50ADF"/>
    <w:rsid w:val="00B55362"/>
    <w:rsid w:val="00B61913"/>
    <w:rsid w:val="00B6606A"/>
    <w:rsid w:val="00B71466"/>
    <w:rsid w:val="00B7615B"/>
    <w:rsid w:val="00B961EA"/>
    <w:rsid w:val="00B97144"/>
    <w:rsid w:val="00BA16F8"/>
    <w:rsid w:val="00BA2987"/>
    <w:rsid w:val="00BB14EF"/>
    <w:rsid w:val="00BB442A"/>
    <w:rsid w:val="00BC445F"/>
    <w:rsid w:val="00BD3F77"/>
    <w:rsid w:val="00BD7886"/>
    <w:rsid w:val="00BD7EF1"/>
    <w:rsid w:val="00BE1569"/>
    <w:rsid w:val="00BF1038"/>
    <w:rsid w:val="00BF75E1"/>
    <w:rsid w:val="00C175B6"/>
    <w:rsid w:val="00C33541"/>
    <w:rsid w:val="00C5106D"/>
    <w:rsid w:val="00C65211"/>
    <w:rsid w:val="00C768BB"/>
    <w:rsid w:val="00C80BD7"/>
    <w:rsid w:val="00C83F4A"/>
    <w:rsid w:val="00C91415"/>
    <w:rsid w:val="00C922FC"/>
    <w:rsid w:val="00C954A2"/>
    <w:rsid w:val="00CB0246"/>
    <w:rsid w:val="00CC51AF"/>
    <w:rsid w:val="00CD29F1"/>
    <w:rsid w:val="00CD4456"/>
    <w:rsid w:val="00CD49DE"/>
    <w:rsid w:val="00CE4D65"/>
    <w:rsid w:val="00CF5C9E"/>
    <w:rsid w:val="00D4506C"/>
    <w:rsid w:val="00D47121"/>
    <w:rsid w:val="00D51E95"/>
    <w:rsid w:val="00D5526E"/>
    <w:rsid w:val="00D6323E"/>
    <w:rsid w:val="00D93227"/>
    <w:rsid w:val="00DC0F20"/>
    <w:rsid w:val="00DE3F01"/>
    <w:rsid w:val="00DE524E"/>
    <w:rsid w:val="00DE701F"/>
    <w:rsid w:val="00DF357C"/>
    <w:rsid w:val="00DF6B43"/>
    <w:rsid w:val="00E32DE4"/>
    <w:rsid w:val="00E3309A"/>
    <w:rsid w:val="00E454F4"/>
    <w:rsid w:val="00E66F4A"/>
    <w:rsid w:val="00E7063A"/>
    <w:rsid w:val="00E72664"/>
    <w:rsid w:val="00E81CF5"/>
    <w:rsid w:val="00E8665C"/>
    <w:rsid w:val="00E90896"/>
    <w:rsid w:val="00EA7496"/>
    <w:rsid w:val="00EB5009"/>
    <w:rsid w:val="00EB7ACA"/>
    <w:rsid w:val="00EC4696"/>
    <w:rsid w:val="00ED2DC6"/>
    <w:rsid w:val="00ED5E7A"/>
    <w:rsid w:val="00EE313C"/>
    <w:rsid w:val="00EE5AA8"/>
    <w:rsid w:val="00EE75E7"/>
    <w:rsid w:val="00F07562"/>
    <w:rsid w:val="00F07814"/>
    <w:rsid w:val="00F1315D"/>
    <w:rsid w:val="00F4282D"/>
    <w:rsid w:val="00F52157"/>
    <w:rsid w:val="00F57AD8"/>
    <w:rsid w:val="00F8070B"/>
    <w:rsid w:val="00F90DE5"/>
    <w:rsid w:val="00FA69D3"/>
    <w:rsid w:val="00FB236D"/>
    <w:rsid w:val="00FC6438"/>
    <w:rsid w:val="00FC7833"/>
    <w:rsid w:val="00FE1E7B"/>
    <w:rsid w:val="00FF2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24829"/>
  <w15:docId w15:val="{377E4726-1F64-4688-9A04-99F0F080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B50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0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2417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4172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41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721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417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41721"/>
    <w:rPr>
      <w:vertAlign w:val="superscript"/>
    </w:rPr>
  </w:style>
  <w:style w:type="table" w:styleId="Tabela-Siatka">
    <w:name w:val="Table Grid"/>
    <w:basedOn w:val="Standardowy"/>
    <w:rsid w:val="00241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2417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17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17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1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17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71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B50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A83A67"/>
  </w:style>
  <w:style w:type="character" w:customStyle="1" w:styleId="Nagwek3Znak">
    <w:name w:val="Nagłówek 3 Znak"/>
    <w:basedOn w:val="Domylnaczcionkaakapitu"/>
    <w:link w:val="Nagwek3"/>
    <w:uiPriority w:val="9"/>
    <w:rsid w:val="00660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2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06A1"/>
    <w:rPr>
      <w:b/>
      <w:bCs/>
    </w:rPr>
  </w:style>
  <w:style w:type="paragraph" w:customStyle="1" w:styleId="Default">
    <w:name w:val="Default"/>
    <w:rsid w:val="00BA29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4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7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  <w:div w:id="88502806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0D94E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2F96-389A-4857-9366-9E41C786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727</Words>
  <Characters>4640</Characters>
  <Application>Microsoft Office Word</Application>
  <DocSecurity>0</DocSecurity>
  <Lines>118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a.tusk</dc:creator>
  <cp:lastModifiedBy>Dagmara Strumińska-Parulska</cp:lastModifiedBy>
  <cp:revision>41</cp:revision>
  <cp:lastPrinted>2019-06-03T08:53:00Z</cp:lastPrinted>
  <dcterms:created xsi:type="dcterms:W3CDTF">2019-06-06T08:22:00Z</dcterms:created>
  <dcterms:modified xsi:type="dcterms:W3CDTF">2023-05-19T10:09:00Z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c49c4c06ba74ac01fa146ee82e3239633c90412db160e61a96070e4c216e5519</vt:lpwstr>
  </property>
</Properties>
</file>