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02F6" w14:textId="77777777" w:rsidR="00E567DE" w:rsidRPr="00961C16" w:rsidRDefault="00961C16">
      <w:pPr>
        <w:rPr>
          <w:b/>
        </w:rPr>
      </w:pPr>
      <w:r w:rsidRPr="00961C16">
        <w:rPr>
          <w:b/>
        </w:rPr>
        <w:t>Charakterystyka nauczycieli akademickich</w:t>
      </w:r>
    </w:p>
    <w:p w14:paraId="32480976" w14:textId="77777777" w:rsidR="00961C16" w:rsidRPr="003D24CB" w:rsidRDefault="003D24CB">
      <w:pPr>
        <w:rPr>
          <w:b/>
        </w:rPr>
      </w:pPr>
      <w:r>
        <w:rPr>
          <w:b/>
        </w:rPr>
        <w:t>Informacje</w:t>
      </w:r>
      <w:r w:rsidRPr="003D24CB">
        <w:rPr>
          <w:b/>
        </w:rPr>
        <w:t xml:space="preserve"> podstawowe </w:t>
      </w:r>
    </w:p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1670"/>
        <w:gridCol w:w="7077"/>
      </w:tblGrid>
      <w:tr w:rsidR="00961C16" w:rsidRPr="00B857CE" w14:paraId="3B718BD4" w14:textId="77777777" w:rsidTr="48F051DD">
        <w:tc>
          <w:tcPr>
            <w:tcW w:w="1672" w:type="dxa"/>
            <w:tcBorders>
              <w:right w:val="nil"/>
            </w:tcBorders>
          </w:tcPr>
          <w:p w14:paraId="75AA941F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Imię i nazwisko:</w:t>
            </w:r>
          </w:p>
        </w:tc>
        <w:tc>
          <w:tcPr>
            <w:tcW w:w="7109" w:type="dxa"/>
            <w:tcBorders>
              <w:left w:val="nil"/>
            </w:tcBorders>
          </w:tcPr>
          <w:p w14:paraId="672A6659" w14:textId="325DD7B0" w:rsidR="00961C16" w:rsidRPr="00300A2C" w:rsidRDefault="00300A2C" w:rsidP="00BA16C2">
            <w:pPr>
              <w:rPr>
                <w:b/>
                <w:color w:val="000000"/>
              </w:rPr>
            </w:pPr>
            <w:r w:rsidRPr="00300A2C">
              <w:rPr>
                <w:b/>
                <w:color w:val="000000"/>
              </w:rPr>
              <w:t>Krzysztof Czub</w:t>
            </w:r>
          </w:p>
        </w:tc>
      </w:tr>
      <w:tr w:rsidR="00961C16" w:rsidRPr="00B857CE" w14:paraId="161685AC" w14:textId="77777777" w:rsidTr="48F051DD">
        <w:tc>
          <w:tcPr>
            <w:tcW w:w="8781" w:type="dxa"/>
            <w:gridSpan w:val="2"/>
          </w:tcPr>
          <w:p w14:paraId="3DF28EE0" w14:textId="7F60D4A5" w:rsidR="00961C16" w:rsidRPr="00B857CE" w:rsidRDefault="00961C16" w:rsidP="00770964">
            <w:pPr>
              <w:rPr>
                <w:color w:val="233D81"/>
              </w:rPr>
            </w:pPr>
            <w:r w:rsidRPr="00B857CE">
              <w:rPr>
                <w:color w:val="233D81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  <w:r w:rsidR="00300A2C">
              <w:rPr>
                <w:color w:val="233D81"/>
              </w:rPr>
              <w:t xml:space="preserve"> </w:t>
            </w:r>
          </w:p>
        </w:tc>
      </w:tr>
      <w:tr w:rsidR="00961C16" w:rsidRPr="00B857CE" w14:paraId="0A37501D" w14:textId="77777777" w:rsidTr="48F051DD">
        <w:trPr>
          <w:trHeight w:val="563"/>
        </w:trPr>
        <w:tc>
          <w:tcPr>
            <w:tcW w:w="8781" w:type="dxa"/>
            <w:gridSpan w:val="2"/>
          </w:tcPr>
          <w:p w14:paraId="5DAB6C7B" w14:textId="40CAA977" w:rsidR="00961C16" w:rsidRPr="00770964" w:rsidRDefault="00770964" w:rsidP="00BA16C2">
            <w:r w:rsidRPr="00770964">
              <w:rPr>
                <w:color w:val="233D81"/>
              </w:rPr>
              <w:t>doktor nauk prawnych w dziedzinie prawa, 2010 r.</w:t>
            </w:r>
          </w:p>
        </w:tc>
      </w:tr>
      <w:tr w:rsidR="00961C16" w:rsidRPr="00B857CE" w14:paraId="46487713" w14:textId="77777777" w:rsidTr="48F051DD">
        <w:trPr>
          <w:trHeight w:val="435"/>
        </w:trPr>
        <w:tc>
          <w:tcPr>
            <w:tcW w:w="8781" w:type="dxa"/>
            <w:gridSpan w:val="2"/>
            <w:vAlign w:val="center"/>
          </w:tcPr>
          <w:p w14:paraId="10926062" w14:textId="77777777" w:rsidR="00961C16" w:rsidRPr="00197A24" w:rsidRDefault="00961C16" w:rsidP="00BA16C2">
            <w:r w:rsidRPr="00B857CE">
              <w:rPr>
                <w:color w:val="233D81"/>
              </w:rPr>
              <w:t>Wykaz zajęć/grup zajęć i godzin zajęć prowadzonych na ocenianym kierunku przez nauczyciela akademickiego lub inną osobę w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roku akademickim, w którym przeprowadzana jest ocena.</w:t>
            </w:r>
          </w:p>
        </w:tc>
      </w:tr>
      <w:tr w:rsidR="00961C16" w:rsidRPr="00B857CE" w14:paraId="76549F30" w14:textId="77777777" w:rsidTr="48F051DD">
        <w:trPr>
          <w:trHeight w:val="563"/>
        </w:trPr>
        <w:tc>
          <w:tcPr>
            <w:tcW w:w="8781" w:type="dxa"/>
            <w:gridSpan w:val="2"/>
          </w:tcPr>
          <w:p w14:paraId="43EF9E25" w14:textId="502B616D" w:rsidR="00C506E9" w:rsidRPr="005F2A03" w:rsidRDefault="00C506E9" w:rsidP="48F051DD">
            <w:r w:rsidRPr="48F051DD">
              <w:rPr>
                <w:color w:val="002060"/>
              </w:rPr>
              <w:t>Ochrona środowiska:</w:t>
            </w:r>
          </w:p>
        </w:tc>
      </w:tr>
      <w:tr w:rsidR="00961C16" w:rsidRPr="00B857CE" w14:paraId="7BFF0D8D" w14:textId="77777777" w:rsidTr="48F051DD">
        <w:tc>
          <w:tcPr>
            <w:tcW w:w="8781" w:type="dxa"/>
            <w:gridSpan w:val="2"/>
          </w:tcPr>
          <w:p w14:paraId="44A4D314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t>Charakterystyka dorobku naukowego ze wskazaniem dziedzin nauki/sztuki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oraz dyscypliny/dyscyplin naukowych/artys</w:t>
            </w:r>
            <w:r w:rsidRPr="00B857CE">
              <w:rPr>
                <w:color w:val="233D81"/>
              </w:rPr>
              <w:t xml:space="preserve">tycznych, w której/których dorobek się mieści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naukowych/artystycznych ze szczególnym uwzględnieniem ostatnich 6 lat,</w:t>
            </w:r>
            <w:r>
              <w:rPr>
                <w:color w:val="233D81"/>
              </w:rPr>
              <w:t xml:space="preserve"> </w:t>
            </w:r>
            <w:r w:rsidRPr="00197A24">
              <w:rPr>
                <w:color w:val="233D81"/>
              </w:rPr>
              <w:t>wraz ze wska</w:t>
            </w:r>
            <w:r w:rsidRPr="00B857CE">
              <w:rPr>
                <w:color w:val="233D81"/>
              </w:rPr>
              <w:t>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prowadzonych na nim zajęć.</w:t>
            </w:r>
          </w:p>
        </w:tc>
      </w:tr>
      <w:tr w:rsidR="00961C16" w:rsidRPr="00B857CE" w14:paraId="02EB378F" w14:textId="77777777" w:rsidTr="48F051DD">
        <w:trPr>
          <w:trHeight w:val="500"/>
        </w:trPr>
        <w:tc>
          <w:tcPr>
            <w:tcW w:w="8781" w:type="dxa"/>
            <w:gridSpan w:val="2"/>
          </w:tcPr>
          <w:p w14:paraId="4C0B6E71" w14:textId="18157F4F" w:rsidR="00961C16" w:rsidRDefault="001C2C51" w:rsidP="00BA16C2">
            <w:r>
              <w:t xml:space="preserve">Autor </w:t>
            </w:r>
            <w:r w:rsidR="000C5053">
              <w:t>licznych publikacji z zakresu prawa własności intelektualnej oraz prawa cywilnego (lista wybranych publikacji poniżej):</w:t>
            </w:r>
          </w:p>
          <w:p w14:paraId="0229B4A5" w14:textId="77777777" w:rsidR="0050097B" w:rsidRDefault="0050097B" w:rsidP="00BA16C2"/>
          <w:p w14:paraId="50773EA4" w14:textId="3DC14AFA" w:rsidR="000C5053" w:rsidRPr="0050097B" w:rsidRDefault="000C5053" w:rsidP="000C5053">
            <w:pPr>
              <w:rPr>
                <w:b/>
              </w:rPr>
            </w:pPr>
            <w:r w:rsidRPr="0050097B">
              <w:rPr>
                <w:b/>
              </w:rPr>
              <w:t>I. AUTORSTWO LUB REDAKCJA NAUKOWA KSIĄŻEK ORAZ MONOGRAFII</w:t>
            </w:r>
          </w:p>
          <w:p w14:paraId="4B8069B8" w14:textId="2C60A78F" w:rsidR="00356913" w:rsidRPr="00356913" w:rsidRDefault="00356913" w:rsidP="00356913">
            <w:pPr>
              <w:numPr>
                <w:ilvl w:val="0"/>
                <w:numId w:val="2"/>
              </w:numPr>
              <w:spacing w:before="120" w:after="0" w:line="300" w:lineRule="auto"/>
            </w:pPr>
            <w:r>
              <w:rPr>
                <w:rStyle w:val="field"/>
                <w:i/>
              </w:rPr>
              <w:t>Kodeks cywilny. Komentarz</w:t>
            </w:r>
            <w:r>
              <w:rPr>
                <w:rStyle w:val="field"/>
              </w:rPr>
              <w:t xml:space="preserve">, red. </w:t>
            </w:r>
            <w:r w:rsidRPr="00356913">
              <w:rPr>
                <w:rStyle w:val="field"/>
              </w:rPr>
              <w:t>M</w:t>
            </w:r>
            <w:r>
              <w:rPr>
                <w:rStyle w:val="field"/>
              </w:rPr>
              <w:t>.</w:t>
            </w:r>
            <w:r w:rsidRPr="00356913">
              <w:rPr>
                <w:rStyle w:val="field"/>
              </w:rPr>
              <w:t xml:space="preserve"> </w:t>
            </w:r>
            <w:proofErr w:type="spellStart"/>
            <w:r w:rsidRPr="00356913">
              <w:rPr>
                <w:rStyle w:val="field"/>
              </w:rPr>
              <w:t>Balwicka-Szczyrba</w:t>
            </w:r>
            <w:proofErr w:type="spellEnd"/>
            <w:r w:rsidRPr="00356913">
              <w:rPr>
                <w:rStyle w:val="field"/>
              </w:rPr>
              <w:t>, A</w:t>
            </w:r>
            <w:r>
              <w:rPr>
                <w:rStyle w:val="field"/>
              </w:rPr>
              <w:t>.</w:t>
            </w:r>
            <w:r w:rsidRPr="00356913">
              <w:rPr>
                <w:rStyle w:val="field"/>
              </w:rPr>
              <w:t xml:space="preserve"> Sylwestrzak</w:t>
            </w:r>
            <w:r>
              <w:rPr>
                <w:rStyle w:val="field"/>
              </w:rPr>
              <w:t>, Warszawa 2022 [współautorstwo];</w:t>
            </w:r>
          </w:p>
          <w:p w14:paraId="6B3B2B63" w14:textId="6E2F7A45" w:rsidR="0073633A" w:rsidRPr="0073633A" w:rsidRDefault="0073633A" w:rsidP="000C5053">
            <w:pPr>
              <w:numPr>
                <w:ilvl w:val="0"/>
                <w:numId w:val="2"/>
              </w:numPr>
              <w:spacing w:before="120" w:after="0" w:line="300" w:lineRule="auto"/>
            </w:pPr>
            <w:r>
              <w:rPr>
                <w:i/>
              </w:rPr>
              <w:t>P</w:t>
            </w:r>
            <w:r w:rsidRPr="00BB7613">
              <w:rPr>
                <w:i/>
              </w:rPr>
              <w:t>raw</w:t>
            </w:r>
            <w:r>
              <w:rPr>
                <w:i/>
              </w:rPr>
              <w:t>o</w:t>
            </w:r>
            <w:r w:rsidRPr="00BB7613">
              <w:rPr>
                <w:i/>
              </w:rPr>
              <w:t xml:space="preserve"> własności intelektualnej</w:t>
            </w:r>
            <w:r>
              <w:rPr>
                <w:i/>
              </w:rPr>
              <w:t xml:space="preserve">, </w:t>
            </w:r>
            <w:r>
              <w:t>Wolters Kluwer, Warszawa 2021;</w:t>
            </w:r>
          </w:p>
          <w:p w14:paraId="001ACC99" w14:textId="769A0A64" w:rsidR="000C5053" w:rsidRDefault="000C5053" w:rsidP="000C5053">
            <w:pPr>
              <w:numPr>
                <w:ilvl w:val="0"/>
                <w:numId w:val="2"/>
              </w:numPr>
              <w:spacing w:before="120" w:after="0" w:line="300" w:lineRule="auto"/>
            </w:pPr>
            <w:r>
              <w:rPr>
                <w:i/>
              </w:rPr>
              <w:t>P</w:t>
            </w:r>
            <w:r w:rsidRPr="00BB7613">
              <w:rPr>
                <w:i/>
              </w:rPr>
              <w:t>raw</w:t>
            </w:r>
            <w:r>
              <w:rPr>
                <w:i/>
              </w:rPr>
              <w:t>o</w:t>
            </w:r>
            <w:r w:rsidRPr="00BB7613">
              <w:rPr>
                <w:i/>
              </w:rPr>
              <w:t xml:space="preserve"> własności intelektualnej</w:t>
            </w:r>
            <w:r>
              <w:t>.</w:t>
            </w:r>
            <w:r w:rsidRPr="004C6E2E">
              <w:rPr>
                <w:i/>
              </w:rPr>
              <w:t xml:space="preserve"> Zarys wykładu</w:t>
            </w:r>
            <w:r>
              <w:t>, Wolters Kluwer, Warszawa 2016;</w:t>
            </w:r>
          </w:p>
          <w:p w14:paraId="1F27AD2D" w14:textId="77777777" w:rsidR="000C5053" w:rsidRPr="00DE7B78" w:rsidRDefault="000C5053" w:rsidP="000C5053">
            <w:pPr>
              <w:numPr>
                <w:ilvl w:val="0"/>
                <w:numId w:val="2"/>
              </w:numPr>
              <w:spacing w:before="120" w:after="0" w:line="300" w:lineRule="auto"/>
              <w:ind w:left="777" w:hanging="357"/>
            </w:pPr>
            <w:r w:rsidRPr="00DE7B78">
              <w:rPr>
                <w:i/>
              </w:rPr>
              <w:t>Prawa osobiste twórców dóbr niematerialnych. Zagadnienia konstrukcyjne</w:t>
            </w:r>
            <w:r w:rsidRPr="00DE7B78">
              <w:t>, monografia, Wolters Kluwer, Warszawa 2011;</w:t>
            </w:r>
          </w:p>
          <w:p w14:paraId="502B558A" w14:textId="69725F55" w:rsidR="000C5053" w:rsidRDefault="000C5053" w:rsidP="000C5053">
            <w:pPr>
              <w:numPr>
                <w:ilvl w:val="0"/>
                <w:numId w:val="2"/>
              </w:numPr>
              <w:spacing w:before="120" w:after="0" w:line="300" w:lineRule="auto"/>
            </w:pPr>
            <w:r w:rsidRPr="000D4AE0">
              <w:rPr>
                <w:rStyle w:val="field"/>
                <w:i/>
              </w:rPr>
              <w:t>Kodeks cywilny. Komentarz, t. 1, Część ogólna (art. 1</w:t>
            </w:r>
            <w:r w:rsidRPr="000D4AE0">
              <w:rPr>
                <w:i/>
              </w:rPr>
              <w:t>–</w:t>
            </w:r>
            <w:r w:rsidRPr="000D4AE0">
              <w:rPr>
                <w:rStyle w:val="field"/>
                <w:i/>
              </w:rPr>
              <w:t>125)</w:t>
            </w:r>
            <w:r>
              <w:rPr>
                <w:rStyle w:val="field"/>
              </w:rPr>
              <w:t>, red. M.</w:t>
            </w:r>
            <w:r w:rsidR="0073633A">
              <w:rPr>
                <w:rStyle w:val="field"/>
              </w:rPr>
              <w:t xml:space="preserve"> </w:t>
            </w:r>
            <w:proofErr w:type="spellStart"/>
            <w:r w:rsidR="0073633A">
              <w:rPr>
                <w:rStyle w:val="field"/>
              </w:rPr>
              <w:t>Habdas</w:t>
            </w:r>
            <w:proofErr w:type="spellEnd"/>
            <w:r w:rsidR="0073633A">
              <w:rPr>
                <w:rStyle w:val="field"/>
              </w:rPr>
              <w:t xml:space="preserve">, M. </w:t>
            </w:r>
            <w:proofErr w:type="spellStart"/>
            <w:r w:rsidR="0073633A">
              <w:rPr>
                <w:rStyle w:val="field"/>
              </w:rPr>
              <w:t>Fras</w:t>
            </w:r>
            <w:proofErr w:type="spellEnd"/>
            <w:r w:rsidR="0073633A">
              <w:rPr>
                <w:rStyle w:val="field"/>
              </w:rPr>
              <w:t xml:space="preserve">, Warszawa 2018 </w:t>
            </w:r>
            <w:r w:rsidR="00F70EBB">
              <w:rPr>
                <w:rStyle w:val="field"/>
              </w:rPr>
              <w:t>[</w:t>
            </w:r>
            <w:r w:rsidR="0073633A">
              <w:rPr>
                <w:rStyle w:val="field"/>
              </w:rPr>
              <w:t>współautorstwo]</w:t>
            </w:r>
            <w:r>
              <w:rPr>
                <w:rStyle w:val="field"/>
              </w:rPr>
              <w:t>;</w:t>
            </w:r>
          </w:p>
          <w:p w14:paraId="4BFA2113" w14:textId="65702556" w:rsidR="000C5053" w:rsidRDefault="000C5053" w:rsidP="000C5053">
            <w:pPr>
              <w:numPr>
                <w:ilvl w:val="0"/>
                <w:numId w:val="2"/>
              </w:numPr>
              <w:spacing w:before="120" w:after="0" w:line="300" w:lineRule="auto"/>
            </w:pPr>
            <w:r w:rsidRPr="0077412C">
              <w:rPr>
                <w:i/>
              </w:rPr>
              <w:t>Księga Jubileuszowa z okazji 100-lecia rzecznictwa patentowego w Polsce</w:t>
            </w:r>
            <w:r>
              <w:t xml:space="preserve">, Warszawa 2018, </w:t>
            </w:r>
            <w:r w:rsidR="00F70EBB">
              <w:rPr>
                <w:rStyle w:val="field"/>
              </w:rPr>
              <w:t>[</w:t>
            </w:r>
            <w:r>
              <w:t>red</w:t>
            </w:r>
            <w:r w:rsidR="00F70EBB">
              <w:t>akcja naukowa</w:t>
            </w:r>
            <w:r w:rsidR="00AF0441">
              <w:t>]</w:t>
            </w:r>
            <w:r>
              <w:t>;</w:t>
            </w:r>
          </w:p>
          <w:p w14:paraId="2ED4C298" w14:textId="57831C3D" w:rsidR="00DC0CC7" w:rsidRDefault="00DC0CC7" w:rsidP="00DC0CC7">
            <w:pPr>
              <w:numPr>
                <w:ilvl w:val="0"/>
                <w:numId w:val="2"/>
              </w:numPr>
              <w:spacing w:before="120" w:after="0" w:line="300" w:lineRule="auto"/>
            </w:pPr>
            <w:r w:rsidRPr="00585E52">
              <w:rPr>
                <w:i/>
              </w:rPr>
              <w:t>Leksykon</w:t>
            </w:r>
            <w:r>
              <w:rPr>
                <w:i/>
              </w:rPr>
              <w:t xml:space="preserve"> prawa własności intelektualnej:</w:t>
            </w:r>
            <w:r w:rsidRPr="00585E52">
              <w:rPr>
                <w:i/>
              </w:rPr>
              <w:t xml:space="preserve"> 100 podstawowych pojęć</w:t>
            </w:r>
            <w:r>
              <w:t>, red.</w:t>
            </w:r>
            <w:r>
              <w:br/>
              <w:t>M. Barczewski, E. Kowalska, Warszawa 2019 [współautorstwo];</w:t>
            </w:r>
          </w:p>
          <w:p w14:paraId="3EA72F77" w14:textId="51B56158" w:rsidR="00DC0CC7" w:rsidRDefault="00DC0CC7" w:rsidP="000C5053">
            <w:pPr>
              <w:numPr>
                <w:ilvl w:val="0"/>
                <w:numId w:val="2"/>
              </w:numPr>
              <w:spacing w:before="120" w:after="0" w:line="300" w:lineRule="auto"/>
            </w:pPr>
            <w:r w:rsidRPr="00DE7B78">
              <w:rPr>
                <w:i/>
              </w:rPr>
              <w:t>Leksykon prawa cywilnego – część ogólna. 100 podstawowych haseł</w:t>
            </w:r>
            <w:r w:rsidRPr="00E219CD">
              <w:t>,</w:t>
            </w:r>
            <w:r w:rsidRPr="00DE7B78">
              <w:t xml:space="preserve"> red.</w:t>
            </w:r>
            <w:r>
              <w:br/>
            </w:r>
            <w:r w:rsidRPr="00DE7B78">
              <w:t>E. Bagińska, Warszawa 2011</w:t>
            </w:r>
            <w:r>
              <w:t xml:space="preserve"> [współautorstwo];</w:t>
            </w:r>
          </w:p>
          <w:p w14:paraId="7D891B9A" w14:textId="0FF4E10E" w:rsidR="000C5053" w:rsidRDefault="000C5053" w:rsidP="00BA16C2"/>
          <w:p w14:paraId="1503DB63" w14:textId="77777777" w:rsidR="0050097B" w:rsidRDefault="0050097B" w:rsidP="00BA16C2"/>
          <w:p w14:paraId="2DFB786E" w14:textId="77777777" w:rsidR="0050097B" w:rsidRPr="0050097B" w:rsidRDefault="0050097B" w:rsidP="0050097B">
            <w:r w:rsidRPr="0050097B">
              <w:rPr>
                <w:b/>
              </w:rPr>
              <w:t>II. ROZDZIAŁY W KSIĄŻKACH I MONOGRAFIACH</w:t>
            </w:r>
          </w:p>
          <w:p w14:paraId="2347E20A" w14:textId="77777777" w:rsidR="0050097B" w:rsidRDefault="0050097B" w:rsidP="0050097B"/>
          <w:p w14:paraId="17B75774" w14:textId="2F056308" w:rsidR="0050097B" w:rsidRDefault="0050097B" w:rsidP="0050097B">
            <w:pPr>
              <w:numPr>
                <w:ilvl w:val="0"/>
                <w:numId w:val="3"/>
              </w:numPr>
              <w:spacing w:before="120" w:after="0" w:line="300" w:lineRule="auto"/>
            </w:pPr>
            <w:r w:rsidRPr="00C6770A">
              <w:rPr>
                <w:i/>
              </w:rPr>
              <w:t>Przedawnienie roszczeń z tytułu naruszenia prawa ochronnego na znak towarowy (kilka uwag z punktu widzenia cywilistycznego)</w:t>
            </w:r>
            <w:r>
              <w:t xml:space="preserve"> (w:) </w:t>
            </w:r>
            <w:r w:rsidRPr="00C6770A">
              <w:rPr>
                <w:i/>
              </w:rPr>
              <w:t>Znaki towarowe i ich ochrona</w:t>
            </w:r>
            <w:r>
              <w:t>, red.</w:t>
            </w:r>
            <w:r w:rsidR="0094330D">
              <w:br/>
            </w:r>
            <w:r>
              <w:t>R. Skubisz, Warszawa 2019</w:t>
            </w:r>
            <w:r w:rsidR="0094330D">
              <w:t>, s. 57–78</w:t>
            </w:r>
            <w:r>
              <w:t>;</w:t>
            </w:r>
          </w:p>
          <w:p w14:paraId="6FA2AAFF" w14:textId="43C25906" w:rsidR="0050097B" w:rsidRDefault="0050097B" w:rsidP="0050097B">
            <w:pPr>
              <w:numPr>
                <w:ilvl w:val="0"/>
                <w:numId w:val="3"/>
              </w:numPr>
              <w:spacing w:before="120" w:after="0" w:line="300" w:lineRule="auto"/>
              <w:rPr>
                <w:rStyle w:val="field"/>
              </w:rPr>
            </w:pPr>
            <w:r w:rsidRPr="00DD3379">
              <w:rPr>
                <w:i/>
              </w:rPr>
              <w:t>Własność intelektualna a społeczeństwo obywatelskie – kilka refleksji na tle polskich</w:t>
            </w:r>
            <w:r>
              <w:rPr>
                <w:i/>
              </w:rPr>
              <w:br/>
            </w:r>
            <w:r w:rsidRPr="00DD3379">
              <w:rPr>
                <w:i/>
              </w:rPr>
              <w:t>i amerykańskich doświadczeń</w:t>
            </w:r>
            <w:r>
              <w:t xml:space="preserve"> (w:) </w:t>
            </w:r>
            <w:r w:rsidRPr="00DD3379">
              <w:rPr>
                <w:i/>
              </w:rPr>
              <w:t xml:space="preserve">OPUS AUCTOREM LAUDAT. Księga jubileuszowa dedykowana Profesor Monice </w:t>
            </w:r>
            <w:proofErr w:type="spellStart"/>
            <w:r w:rsidRPr="00DD3379">
              <w:rPr>
                <w:i/>
              </w:rPr>
              <w:t>Czajkowskiej-Dąbrowskiej</w:t>
            </w:r>
            <w:proofErr w:type="spellEnd"/>
            <w:r>
              <w:t>, red.</w:t>
            </w:r>
            <w:r w:rsidR="0094330D">
              <w:t xml:space="preserve"> </w:t>
            </w:r>
            <w:r>
              <w:t>K. Szczepanowska-Kozłowska, I. Matusiak, Ł. Żelechowski, Warszawa 2019,</w:t>
            </w:r>
            <w:r w:rsidR="0094330D">
              <w:t xml:space="preserve"> </w:t>
            </w:r>
            <w:r>
              <w:t>s. 577–591;</w:t>
            </w:r>
          </w:p>
          <w:p w14:paraId="4E86D8C5" w14:textId="3451E232" w:rsidR="0050097B" w:rsidRDefault="0050097B" w:rsidP="0050097B">
            <w:pPr>
              <w:numPr>
                <w:ilvl w:val="0"/>
                <w:numId w:val="3"/>
              </w:numPr>
              <w:spacing w:before="120" w:after="0" w:line="300" w:lineRule="auto"/>
            </w:pPr>
            <w:r w:rsidRPr="00EF7500">
              <w:rPr>
                <w:rStyle w:val="field"/>
                <w:i/>
              </w:rPr>
              <w:t xml:space="preserve">Sprzeciw wobec sprzeciwu </w:t>
            </w:r>
            <w:r w:rsidRPr="00EF7500">
              <w:rPr>
                <w:i/>
              </w:rPr>
              <w:t>–</w:t>
            </w:r>
            <w:r w:rsidRPr="00EF7500">
              <w:rPr>
                <w:rStyle w:val="field"/>
                <w:i/>
              </w:rPr>
              <w:t xml:space="preserve"> kilka uwag krytycznych na tle art. 152</w:t>
            </w:r>
            <w:r w:rsidRPr="00EF7500">
              <w:rPr>
                <w:rStyle w:val="field"/>
                <w:i/>
                <w:vertAlign w:val="superscript"/>
              </w:rPr>
              <w:t>6A</w:t>
            </w:r>
            <w:r w:rsidRPr="00EF7500">
              <w:rPr>
                <w:rStyle w:val="field"/>
                <w:i/>
              </w:rPr>
              <w:t xml:space="preserve"> ust. 1 i art. 152</w:t>
            </w:r>
            <w:r w:rsidRPr="00EF7500">
              <w:rPr>
                <w:rStyle w:val="field"/>
                <w:i/>
                <w:vertAlign w:val="superscript"/>
              </w:rPr>
              <w:t>17</w:t>
            </w:r>
            <w:r w:rsidRPr="00EF7500">
              <w:rPr>
                <w:rStyle w:val="field"/>
                <w:i/>
              </w:rPr>
              <w:t xml:space="preserve"> ust. 1 ustawy Prawo własności przemysłowej</w:t>
            </w:r>
            <w:r>
              <w:rPr>
                <w:rStyle w:val="field"/>
              </w:rPr>
              <w:t xml:space="preserve"> (w:) </w:t>
            </w:r>
            <w:r w:rsidRPr="00EF7500">
              <w:rPr>
                <w:rStyle w:val="field"/>
                <w:i/>
              </w:rPr>
              <w:t>GOSPODARKA NARODOWA A RYNEK WEWNĘTRZNY UNII EUROPEJSKIEJ. PRAWNO-EKONOMICZNE PROBLEMY INTEGRACJI. WŁASNOŚĆ INTELEKTUALNA</w:t>
            </w:r>
            <w:r w:rsidR="00BE158B">
              <w:rPr>
                <w:rStyle w:val="field"/>
                <w:i/>
              </w:rPr>
              <w:t xml:space="preserve"> </w:t>
            </w:r>
            <w:r w:rsidRPr="00EF7500">
              <w:rPr>
                <w:rStyle w:val="field"/>
                <w:i/>
              </w:rPr>
              <w:t>– KONKURENCJA – PRZEDSIĘBIORCZOŚĆ</w:t>
            </w:r>
            <w:r w:rsidRPr="001E711A">
              <w:rPr>
                <w:rStyle w:val="field"/>
              </w:rPr>
              <w:t>,</w:t>
            </w:r>
            <w:r w:rsidR="00BE158B">
              <w:rPr>
                <w:rStyle w:val="field"/>
              </w:rPr>
              <w:br/>
            </w:r>
            <w:r w:rsidRPr="001E711A">
              <w:rPr>
                <w:rStyle w:val="field"/>
              </w:rPr>
              <w:t>red. M.</w:t>
            </w:r>
            <w:r>
              <w:rPr>
                <w:rStyle w:val="field"/>
              </w:rPr>
              <w:t xml:space="preserve"> </w:t>
            </w:r>
            <w:r w:rsidRPr="001E711A">
              <w:rPr>
                <w:rStyle w:val="field"/>
              </w:rPr>
              <w:t>Królikowska-Olczak,</w:t>
            </w:r>
            <w:r w:rsidR="00BE158B">
              <w:rPr>
                <w:rStyle w:val="field"/>
              </w:rPr>
              <w:t xml:space="preserve"> </w:t>
            </w:r>
            <w:r w:rsidRPr="001E711A">
              <w:rPr>
                <w:rStyle w:val="field"/>
              </w:rPr>
              <w:t>D. Ossowska-</w:t>
            </w:r>
            <w:proofErr w:type="spellStart"/>
            <w:r w:rsidRPr="001E711A">
              <w:rPr>
                <w:rStyle w:val="field"/>
              </w:rPr>
              <w:t>Salamonowicz</w:t>
            </w:r>
            <w:proofErr w:type="spellEnd"/>
            <w:r w:rsidRPr="001E711A">
              <w:rPr>
                <w:rStyle w:val="field"/>
              </w:rPr>
              <w:t xml:space="preserve">, M. </w:t>
            </w:r>
            <w:proofErr w:type="spellStart"/>
            <w:r w:rsidRPr="001E711A">
              <w:rPr>
                <w:rStyle w:val="field"/>
              </w:rPr>
              <w:t>Salamonowicz</w:t>
            </w:r>
            <w:proofErr w:type="spellEnd"/>
            <w:r w:rsidRPr="001E711A">
              <w:rPr>
                <w:rStyle w:val="field"/>
              </w:rPr>
              <w:t>, A.</w:t>
            </w:r>
            <w:r>
              <w:rPr>
                <w:rStyle w:val="field"/>
              </w:rPr>
              <w:t xml:space="preserve"> </w:t>
            </w:r>
            <w:proofErr w:type="spellStart"/>
            <w:r>
              <w:rPr>
                <w:rStyle w:val="field"/>
              </w:rPr>
              <w:t>Cekała</w:t>
            </w:r>
            <w:proofErr w:type="spellEnd"/>
            <w:r>
              <w:rPr>
                <w:rStyle w:val="field"/>
              </w:rPr>
              <w:t>, Olsztyn 2018, s. 89</w:t>
            </w:r>
            <w:r>
              <w:t>–</w:t>
            </w:r>
            <w:r w:rsidRPr="001E711A">
              <w:rPr>
                <w:rStyle w:val="field"/>
              </w:rPr>
              <w:t>96</w:t>
            </w:r>
            <w:r>
              <w:rPr>
                <w:rStyle w:val="field"/>
              </w:rPr>
              <w:t>;</w:t>
            </w:r>
          </w:p>
          <w:p w14:paraId="2636D935" w14:textId="77777777" w:rsidR="0050097B" w:rsidRDefault="0050097B" w:rsidP="0050097B">
            <w:pPr>
              <w:numPr>
                <w:ilvl w:val="0"/>
                <w:numId w:val="3"/>
              </w:numPr>
              <w:spacing w:before="120" w:after="0" w:line="300" w:lineRule="auto"/>
            </w:pPr>
            <w:r w:rsidRPr="009F5669">
              <w:rPr>
                <w:rStyle w:val="field"/>
                <w:i/>
              </w:rPr>
              <w:t xml:space="preserve">Wzory (użytkowe oraz przemysłowe) i utwory </w:t>
            </w:r>
            <w:r w:rsidRPr="009F5669">
              <w:rPr>
                <w:i/>
              </w:rPr>
              <w:t>–</w:t>
            </w:r>
            <w:r w:rsidRPr="009F5669">
              <w:rPr>
                <w:rStyle w:val="field"/>
                <w:i/>
              </w:rPr>
              <w:t xml:space="preserve"> kilka uwag o przedmiocie ochrony</w:t>
            </w:r>
            <w:r>
              <w:br/>
            </w:r>
            <w:r>
              <w:rPr>
                <w:rStyle w:val="label"/>
              </w:rPr>
              <w:t>(w:)</w:t>
            </w:r>
            <w:r>
              <w:rPr>
                <w:rStyle w:val="field"/>
              </w:rPr>
              <w:t xml:space="preserve"> </w:t>
            </w:r>
            <w:r w:rsidRPr="009F5669">
              <w:rPr>
                <w:rStyle w:val="field"/>
                <w:i/>
              </w:rPr>
              <w:t>100 lat ochrony własności przemysłowej w Polsce. Księga jubileuszowa Urzędu Patentowego Rzeczypospolitej Polskiej</w:t>
            </w:r>
            <w:r>
              <w:rPr>
                <w:rStyle w:val="field"/>
              </w:rPr>
              <w:t>, red. A. Adamczak, Warszawa 2018,</w:t>
            </w:r>
            <w:r>
              <w:rPr>
                <w:rStyle w:val="field"/>
              </w:rPr>
              <w:br/>
              <w:t xml:space="preserve">s. </w:t>
            </w:r>
            <w:r w:rsidRPr="001E3C6B">
              <w:rPr>
                <w:rStyle w:val="field"/>
              </w:rPr>
              <w:t>414</w:t>
            </w:r>
            <w:r>
              <w:t>–</w:t>
            </w:r>
            <w:r w:rsidRPr="001E3C6B">
              <w:rPr>
                <w:rStyle w:val="field"/>
              </w:rPr>
              <w:t>435</w:t>
            </w:r>
            <w:r>
              <w:rPr>
                <w:rStyle w:val="field"/>
              </w:rPr>
              <w:t>;</w:t>
            </w:r>
          </w:p>
          <w:p w14:paraId="21377F5A" w14:textId="77777777" w:rsidR="0050097B" w:rsidRDefault="0050097B" w:rsidP="0050097B">
            <w:pPr>
              <w:numPr>
                <w:ilvl w:val="0"/>
                <w:numId w:val="3"/>
              </w:numPr>
              <w:spacing w:before="120" w:after="0" w:line="300" w:lineRule="auto"/>
            </w:pPr>
            <w:r w:rsidRPr="009F5669">
              <w:rPr>
                <w:i/>
              </w:rPr>
              <w:t>Rzecznik patentowy jako biegły (sądowy) – stan aktualny i perspektywy</w:t>
            </w:r>
            <w:r>
              <w:t xml:space="preserve"> (w:)</w:t>
            </w:r>
            <w:r w:rsidRPr="00A04DC5">
              <w:t xml:space="preserve"> </w:t>
            </w:r>
            <w:r w:rsidRPr="009F5669">
              <w:rPr>
                <w:i/>
              </w:rPr>
              <w:t>Księga Jubileuszowa z okazji 100-lecia rzecznictwa patentowego w Polsce</w:t>
            </w:r>
            <w:r>
              <w:t>, red. K. Czub, Warszawa 2018, s. 133–</w:t>
            </w:r>
            <w:r w:rsidRPr="003268E5">
              <w:t>141</w:t>
            </w:r>
            <w:r>
              <w:t>;</w:t>
            </w:r>
          </w:p>
          <w:p w14:paraId="691D62E7" w14:textId="77777777" w:rsidR="0050097B" w:rsidRDefault="0050097B" w:rsidP="0050097B">
            <w:pPr>
              <w:numPr>
                <w:ilvl w:val="0"/>
                <w:numId w:val="3"/>
              </w:numPr>
              <w:spacing w:before="120" w:after="0" w:line="300" w:lineRule="auto"/>
            </w:pPr>
            <w:r w:rsidRPr="00EF7500">
              <w:rPr>
                <w:rStyle w:val="field"/>
                <w:i/>
              </w:rPr>
              <w:t>Umowy o wspólności praw w prawie autorskim i prawie własności przemysłowej</w:t>
            </w:r>
            <w:r>
              <w:rPr>
                <w:rStyle w:val="field"/>
                <w:i/>
              </w:rPr>
              <w:br/>
            </w:r>
            <w:r>
              <w:rPr>
                <w:rStyle w:val="field"/>
              </w:rPr>
              <w:t xml:space="preserve">(w:) </w:t>
            </w:r>
            <w:r w:rsidRPr="00EF7500">
              <w:rPr>
                <w:rStyle w:val="field"/>
                <w:i/>
              </w:rPr>
              <w:t>Prawo kontraktów</w:t>
            </w:r>
            <w:r>
              <w:rPr>
                <w:rStyle w:val="field"/>
              </w:rPr>
              <w:t xml:space="preserve">, </w:t>
            </w:r>
            <w:r w:rsidRPr="003B6870">
              <w:rPr>
                <w:rStyle w:val="field"/>
              </w:rPr>
              <w:t xml:space="preserve">red. Z. </w:t>
            </w:r>
            <w:proofErr w:type="spellStart"/>
            <w:r w:rsidRPr="003B6870">
              <w:rPr>
                <w:rStyle w:val="field"/>
              </w:rPr>
              <w:t>Kuniewicz</w:t>
            </w:r>
            <w:proofErr w:type="spellEnd"/>
            <w:r w:rsidRPr="003B6870">
              <w:rPr>
                <w:rStyle w:val="field"/>
              </w:rPr>
              <w:t>,</w:t>
            </w:r>
            <w:r>
              <w:rPr>
                <w:rStyle w:val="field"/>
              </w:rPr>
              <w:t xml:space="preserve"> </w:t>
            </w:r>
            <w:r w:rsidRPr="003B6870">
              <w:rPr>
                <w:rStyle w:val="field"/>
              </w:rPr>
              <w:t>D. Sokołowska,</w:t>
            </w:r>
            <w:r>
              <w:rPr>
                <w:rStyle w:val="field"/>
              </w:rPr>
              <w:t xml:space="preserve"> Warszawa 2017,</w:t>
            </w:r>
            <w:r>
              <w:rPr>
                <w:rStyle w:val="field"/>
              </w:rPr>
              <w:br/>
              <w:t>s. 50</w:t>
            </w:r>
            <w:r>
              <w:t>–</w:t>
            </w:r>
            <w:r w:rsidRPr="003B6870">
              <w:rPr>
                <w:rStyle w:val="field"/>
              </w:rPr>
              <w:t>63</w:t>
            </w:r>
            <w:r>
              <w:t>;</w:t>
            </w:r>
          </w:p>
          <w:p w14:paraId="27683580" w14:textId="77777777" w:rsidR="0050097B" w:rsidRDefault="0050097B" w:rsidP="0050097B">
            <w:pPr>
              <w:numPr>
                <w:ilvl w:val="0"/>
                <w:numId w:val="3"/>
              </w:numPr>
              <w:spacing w:before="120" w:after="0" w:line="300" w:lineRule="auto"/>
            </w:pPr>
            <w:r w:rsidRPr="00B739E7">
              <w:rPr>
                <w:i/>
              </w:rPr>
              <w:t>Wpływ instytucji pierwszeństwa w prawie rzymskim na prawo pierwszeństwa</w:t>
            </w:r>
            <w:r>
              <w:rPr>
                <w:i/>
              </w:rPr>
              <w:br/>
            </w:r>
            <w:r w:rsidRPr="00B739E7">
              <w:rPr>
                <w:i/>
              </w:rPr>
              <w:t>w prawie własności intelektualnej</w:t>
            </w:r>
            <w:r>
              <w:t xml:space="preserve"> (w</w:t>
            </w:r>
            <w:r w:rsidRPr="00CC5E04">
              <w:t>:</w:t>
            </w:r>
            <w:r>
              <w:t>)</w:t>
            </w:r>
            <w:r w:rsidRPr="00CC5E04">
              <w:t xml:space="preserve"> </w:t>
            </w:r>
            <w:proofErr w:type="spellStart"/>
            <w:r w:rsidRPr="00B739E7">
              <w:rPr>
                <w:i/>
              </w:rPr>
              <w:t>Ius</w:t>
            </w:r>
            <w:proofErr w:type="spellEnd"/>
            <w:r w:rsidRPr="00B739E7">
              <w:rPr>
                <w:i/>
              </w:rPr>
              <w:t xml:space="preserve"> </w:t>
            </w:r>
            <w:proofErr w:type="spellStart"/>
            <w:r w:rsidRPr="00B739E7">
              <w:rPr>
                <w:i/>
              </w:rPr>
              <w:t>pluribus</w:t>
            </w:r>
            <w:proofErr w:type="spellEnd"/>
            <w:r w:rsidRPr="00B739E7">
              <w:rPr>
                <w:i/>
              </w:rPr>
              <w:t xml:space="preserve"> </w:t>
            </w:r>
            <w:proofErr w:type="spellStart"/>
            <w:r w:rsidRPr="00B739E7">
              <w:rPr>
                <w:i/>
              </w:rPr>
              <w:t>modis</w:t>
            </w:r>
            <w:proofErr w:type="spellEnd"/>
            <w:r w:rsidRPr="00B739E7">
              <w:rPr>
                <w:i/>
              </w:rPr>
              <w:t xml:space="preserve"> </w:t>
            </w:r>
            <w:proofErr w:type="spellStart"/>
            <w:r w:rsidRPr="00B739E7">
              <w:rPr>
                <w:i/>
              </w:rPr>
              <w:t>dicitur</w:t>
            </w:r>
            <w:proofErr w:type="spellEnd"/>
            <w:r w:rsidRPr="00B739E7">
              <w:rPr>
                <w:i/>
              </w:rPr>
              <w:t xml:space="preserve"> – prawo rzymskie wciąż żywe</w:t>
            </w:r>
            <w:r>
              <w:t xml:space="preserve">, </w:t>
            </w:r>
            <w:r w:rsidRPr="00CC5E04">
              <w:t xml:space="preserve">red. </w:t>
            </w:r>
            <w:r w:rsidRPr="00331A9E">
              <w:t>B</w:t>
            </w:r>
            <w:r>
              <w:t xml:space="preserve">. </w:t>
            </w:r>
            <w:r w:rsidRPr="00331A9E">
              <w:t>J. Kowalczyk, B</w:t>
            </w:r>
            <w:r>
              <w:t>.</w:t>
            </w:r>
            <w:r w:rsidRPr="00331A9E">
              <w:t xml:space="preserve"> Szolc-Nartowski</w:t>
            </w:r>
            <w:r>
              <w:t>,</w:t>
            </w:r>
            <w:r w:rsidRPr="00CC5E04">
              <w:t xml:space="preserve"> </w:t>
            </w:r>
            <w:r w:rsidRPr="00331A9E">
              <w:t>Polskie Wydawnictwo Prawnicze</w:t>
            </w:r>
            <w:r>
              <w:t>,</w:t>
            </w:r>
            <w:r w:rsidRPr="00331A9E">
              <w:t xml:space="preserve"> Gdańsk</w:t>
            </w:r>
            <w:r>
              <w:t xml:space="preserve"> </w:t>
            </w:r>
            <w:r w:rsidRPr="00331A9E">
              <w:t>2016</w:t>
            </w:r>
            <w:r>
              <w:t>, s.</w:t>
            </w:r>
            <w:r w:rsidRPr="00331A9E">
              <w:t xml:space="preserve"> 39</w:t>
            </w:r>
            <w:r>
              <w:t>–</w:t>
            </w:r>
            <w:r w:rsidRPr="00331A9E">
              <w:t>49</w:t>
            </w:r>
            <w:r>
              <w:t>;</w:t>
            </w:r>
          </w:p>
          <w:p w14:paraId="63D93375" w14:textId="77777777" w:rsidR="0050097B" w:rsidRDefault="0050097B" w:rsidP="0050097B">
            <w:pPr>
              <w:numPr>
                <w:ilvl w:val="0"/>
                <w:numId w:val="3"/>
              </w:numPr>
              <w:spacing w:before="120" w:after="0" w:line="300" w:lineRule="auto"/>
            </w:pPr>
            <w:r>
              <w:rPr>
                <w:i/>
              </w:rPr>
              <w:t>D</w:t>
            </w:r>
            <w:r w:rsidRPr="001B4CED">
              <w:rPr>
                <w:i/>
              </w:rPr>
              <w:t>obra i prawa osobiste po śmierci twórcy</w:t>
            </w:r>
            <w:r>
              <w:rPr>
                <w:i/>
              </w:rPr>
              <w:t xml:space="preserve"> </w:t>
            </w:r>
            <w:r w:rsidRPr="001B4CED">
              <w:rPr>
                <w:i/>
              </w:rPr>
              <w:t>(na podstawie kodeksu cywilnego,</w:t>
            </w:r>
            <w:r>
              <w:rPr>
                <w:i/>
              </w:rPr>
              <w:br/>
            </w:r>
            <w:r w:rsidRPr="001B4CED">
              <w:rPr>
                <w:i/>
              </w:rPr>
              <w:t>prawa autorskiego i prawa własności przemysłowej)</w:t>
            </w:r>
            <w:r w:rsidRPr="001B4CED">
              <w:t xml:space="preserve"> </w:t>
            </w:r>
            <w:r>
              <w:t>(</w:t>
            </w:r>
            <w:r w:rsidRPr="001B4CED">
              <w:t>w:</w:t>
            </w:r>
            <w:r>
              <w:t xml:space="preserve">) </w:t>
            </w:r>
            <w:r w:rsidRPr="008244A0">
              <w:rPr>
                <w:i/>
                <w:iCs/>
              </w:rPr>
              <w:t xml:space="preserve">Non </w:t>
            </w:r>
            <w:proofErr w:type="spellStart"/>
            <w:r w:rsidRPr="008244A0">
              <w:rPr>
                <w:i/>
                <w:iCs/>
              </w:rPr>
              <w:t>omnis</w:t>
            </w:r>
            <w:proofErr w:type="spellEnd"/>
            <w:r w:rsidRPr="008244A0">
              <w:rPr>
                <w:i/>
                <w:iCs/>
              </w:rPr>
              <w:t xml:space="preserve"> </w:t>
            </w:r>
            <w:proofErr w:type="spellStart"/>
            <w:r w:rsidRPr="008244A0">
              <w:rPr>
                <w:i/>
                <w:iCs/>
              </w:rPr>
              <w:t>moriar</w:t>
            </w:r>
            <w:proofErr w:type="spellEnd"/>
            <w:r w:rsidRPr="008244A0">
              <w:rPr>
                <w:i/>
                <w:iCs/>
              </w:rPr>
              <w:t>. O</w:t>
            </w:r>
            <w:r w:rsidRPr="008244A0">
              <w:rPr>
                <w:i/>
              </w:rPr>
              <w:t>sobiste</w:t>
            </w:r>
            <w:r>
              <w:rPr>
                <w:i/>
              </w:rPr>
              <w:t xml:space="preserve"> </w:t>
            </w:r>
            <w:r w:rsidRPr="008244A0">
              <w:rPr>
                <w:i/>
              </w:rPr>
              <w:t>i majątkowe aspekty prawne śmierci człowieka. Zagadnienia wybrane</w:t>
            </w:r>
            <w:r>
              <w:t>,</w:t>
            </w:r>
            <w:r>
              <w:br/>
            </w:r>
            <w:r w:rsidRPr="00331A9E">
              <w:t>red.</w:t>
            </w:r>
            <w:r>
              <w:t xml:space="preserve"> </w:t>
            </w:r>
            <w:r w:rsidRPr="00331A9E">
              <w:t>J</w:t>
            </w:r>
            <w:r>
              <w:t>.</w:t>
            </w:r>
            <w:r w:rsidRPr="00331A9E">
              <w:t xml:space="preserve"> </w:t>
            </w:r>
            <w:proofErr w:type="spellStart"/>
            <w:r w:rsidRPr="00331A9E">
              <w:t>Gołaczyński</w:t>
            </w:r>
            <w:proofErr w:type="spellEnd"/>
            <w:r w:rsidRPr="00331A9E">
              <w:t>, J</w:t>
            </w:r>
            <w:r>
              <w:t>.</w:t>
            </w:r>
            <w:r w:rsidRPr="00331A9E">
              <w:t xml:space="preserve"> Mazurkiewicz, J</w:t>
            </w:r>
            <w:r>
              <w:t>.</w:t>
            </w:r>
            <w:r w:rsidRPr="00331A9E">
              <w:t xml:space="preserve"> </w:t>
            </w:r>
            <w:proofErr w:type="spellStart"/>
            <w:r w:rsidRPr="00331A9E">
              <w:t>Turłukowski</w:t>
            </w:r>
            <w:proofErr w:type="spellEnd"/>
            <w:r w:rsidRPr="00331A9E">
              <w:t>, D</w:t>
            </w:r>
            <w:r>
              <w:t>.</w:t>
            </w:r>
            <w:r w:rsidRPr="00331A9E">
              <w:t xml:space="preserve"> Karkut</w:t>
            </w:r>
            <w:r>
              <w:t xml:space="preserve">, </w:t>
            </w:r>
            <w:r w:rsidRPr="00331A9E">
              <w:t>Wrocław</w:t>
            </w:r>
            <w:r>
              <w:t xml:space="preserve"> </w:t>
            </w:r>
            <w:r w:rsidRPr="00331A9E">
              <w:t>2015</w:t>
            </w:r>
            <w:r>
              <w:t>,</w:t>
            </w:r>
            <w:r>
              <w:br/>
              <w:t xml:space="preserve">s. </w:t>
            </w:r>
            <w:r w:rsidRPr="00331A9E">
              <w:t>132</w:t>
            </w:r>
            <w:r>
              <w:t>–</w:t>
            </w:r>
            <w:r w:rsidRPr="00331A9E">
              <w:t>149</w:t>
            </w:r>
            <w:r>
              <w:t>;</w:t>
            </w:r>
          </w:p>
          <w:p w14:paraId="6106234A" w14:textId="77777777" w:rsidR="005F3EA0" w:rsidRDefault="005F3EA0" w:rsidP="005F3EA0">
            <w:pPr>
              <w:spacing w:before="120" w:after="0" w:line="300" w:lineRule="auto"/>
            </w:pPr>
          </w:p>
          <w:p w14:paraId="0130A6D4" w14:textId="77777777" w:rsidR="005F3EA0" w:rsidRPr="0028509F" w:rsidRDefault="005F3EA0" w:rsidP="005F3EA0">
            <w:r w:rsidRPr="0028509F">
              <w:rPr>
                <w:b/>
              </w:rPr>
              <w:t>III. PUBLIKACJE  NAUKOWE (ARTYKUŁY I GLOSY)</w:t>
            </w:r>
          </w:p>
          <w:p w14:paraId="427CBA34" w14:textId="77777777" w:rsidR="005F3EA0" w:rsidRPr="00E2237F" w:rsidRDefault="005F3EA0" w:rsidP="005F3EA0">
            <w:pPr>
              <w:spacing w:line="300" w:lineRule="auto"/>
            </w:pPr>
          </w:p>
          <w:p w14:paraId="460036A8" w14:textId="77777777" w:rsidR="005F3EA0" w:rsidRPr="00414597" w:rsidRDefault="005F3EA0" w:rsidP="005F3EA0">
            <w:pPr>
              <w:numPr>
                <w:ilvl w:val="0"/>
                <w:numId w:val="4"/>
              </w:numPr>
              <w:spacing w:before="120" w:after="0" w:line="300" w:lineRule="auto"/>
            </w:pPr>
            <w:r w:rsidRPr="006A5504">
              <w:rPr>
                <w:rStyle w:val="field"/>
                <w:i/>
              </w:rPr>
              <w:t>Wyłączenia (</w:t>
            </w:r>
            <w:proofErr w:type="spellStart"/>
            <w:r w:rsidRPr="006A5504">
              <w:rPr>
                <w:rStyle w:val="field"/>
                <w:i/>
              </w:rPr>
              <w:t>dysklamacje</w:t>
            </w:r>
            <w:proofErr w:type="spellEnd"/>
            <w:r w:rsidRPr="006A5504">
              <w:rPr>
                <w:rStyle w:val="field"/>
                <w:i/>
              </w:rPr>
              <w:t>) spod ochrony a zakres przedmiotowy prawa z rejestracji wzoru przemysłowego</w:t>
            </w:r>
            <w:r>
              <w:rPr>
                <w:rStyle w:val="field"/>
              </w:rPr>
              <w:t>, „Gdańskie Studia Prawnicze”, 2018, T. XXXIX, s. 261</w:t>
            </w:r>
            <w:r>
              <w:t>–</w:t>
            </w:r>
            <w:r>
              <w:rPr>
                <w:rStyle w:val="field"/>
              </w:rPr>
              <w:t>271</w:t>
            </w:r>
            <w:r>
              <w:t>;</w:t>
            </w:r>
          </w:p>
          <w:p w14:paraId="113DA134" w14:textId="77777777" w:rsidR="005F3EA0" w:rsidRDefault="005F3EA0" w:rsidP="005F3EA0">
            <w:pPr>
              <w:numPr>
                <w:ilvl w:val="0"/>
                <w:numId w:val="4"/>
              </w:numPr>
              <w:spacing w:before="120" w:after="0" w:line="300" w:lineRule="auto"/>
            </w:pPr>
            <w:r w:rsidRPr="00E2237F">
              <w:rPr>
                <w:i/>
              </w:rPr>
              <w:t>Interes publiczny w prawie własności intelektualnej</w:t>
            </w:r>
            <w:r>
              <w:t>, „</w:t>
            </w:r>
            <w:r w:rsidRPr="00611947">
              <w:t>Gdańskie Studia Prawnicze</w:t>
            </w:r>
            <w:r>
              <w:t>”</w:t>
            </w:r>
            <w:r w:rsidRPr="00611947">
              <w:t xml:space="preserve"> 2017, T. </w:t>
            </w:r>
            <w:r>
              <w:t>XXXVII</w:t>
            </w:r>
            <w:r w:rsidRPr="00611947">
              <w:t>, s. 171</w:t>
            </w:r>
            <w:r>
              <w:t>–</w:t>
            </w:r>
            <w:r w:rsidRPr="00611947">
              <w:t>186</w:t>
            </w:r>
            <w:r w:rsidRPr="00692C1C">
              <w:t>;</w:t>
            </w:r>
          </w:p>
          <w:p w14:paraId="045DF706" w14:textId="595EA7BA" w:rsidR="005F3EA0" w:rsidRDefault="005F3EA0" w:rsidP="005F3EA0">
            <w:pPr>
              <w:numPr>
                <w:ilvl w:val="0"/>
                <w:numId w:val="4"/>
              </w:numPr>
              <w:spacing w:before="120" w:after="0" w:line="300" w:lineRule="auto"/>
            </w:pPr>
            <w:r>
              <w:rPr>
                <w:i/>
              </w:rPr>
              <w:t>K</w:t>
            </w:r>
            <w:r w:rsidRPr="00907B85">
              <w:rPr>
                <w:i/>
              </w:rPr>
              <w:t>onferencj</w:t>
            </w:r>
            <w:r>
              <w:rPr>
                <w:i/>
              </w:rPr>
              <w:t>a</w:t>
            </w:r>
            <w:r w:rsidRPr="00907B85">
              <w:rPr>
                <w:i/>
              </w:rPr>
              <w:t xml:space="preserve"> PATCON 6 (Międzynarodowa konferencja naukowa, Boston, 8–9.04.2016 r.)</w:t>
            </w:r>
            <w:r>
              <w:t>, s</w:t>
            </w:r>
            <w:r w:rsidRPr="000E5EAE">
              <w:t>prawozdanie</w:t>
            </w:r>
            <w:r>
              <w:t>,</w:t>
            </w:r>
            <w:r w:rsidRPr="000E5EAE">
              <w:t xml:space="preserve"> </w:t>
            </w:r>
            <w:r>
              <w:t>„</w:t>
            </w:r>
            <w:r w:rsidRPr="00356983">
              <w:t>Państwo i Prawo</w:t>
            </w:r>
            <w:r>
              <w:t>” z.</w:t>
            </w:r>
            <w:r w:rsidRPr="00356983">
              <w:t xml:space="preserve"> 2/2017</w:t>
            </w:r>
            <w:r>
              <w:t xml:space="preserve">, </w:t>
            </w:r>
            <w:r w:rsidRPr="00356983">
              <w:t>s. 131</w:t>
            </w:r>
            <w:r>
              <w:t>–</w:t>
            </w:r>
            <w:r w:rsidRPr="00356983">
              <w:t>134</w:t>
            </w:r>
            <w:r>
              <w:t>;</w:t>
            </w:r>
          </w:p>
          <w:p w14:paraId="23DA5E53" w14:textId="77777777" w:rsidR="005F3EA0" w:rsidRDefault="005F3EA0" w:rsidP="005F3EA0">
            <w:pPr>
              <w:numPr>
                <w:ilvl w:val="0"/>
                <w:numId w:val="4"/>
              </w:numPr>
              <w:spacing w:before="120" w:after="0" w:line="300" w:lineRule="auto"/>
              <w:ind w:left="777"/>
            </w:pPr>
            <w:r w:rsidRPr="00414597">
              <w:rPr>
                <w:i/>
              </w:rPr>
              <w:t>Wybrane zagadnienia ochrony projektów obwodów drukowanych jako utworów</w:t>
            </w:r>
            <w:r>
              <w:t xml:space="preserve">, „Acta Iuris </w:t>
            </w:r>
            <w:proofErr w:type="spellStart"/>
            <w:r>
              <w:t>Stetinensis</w:t>
            </w:r>
            <w:proofErr w:type="spellEnd"/>
            <w:r>
              <w:t>” 2017, nr 2 (18), s. 63–76;</w:t>
            </w:r>
          </w:p>
          <w:p w14:paraId="0B615206" w14:textId="77777777" w:rsidR="005F3EA0" w:rsidRDefault="005F3EA0" w:rsidP="005F3EA0">
            <w:pPr>
              <w:numPr>
                <w:ilvl w:val="0"/>
                <w:numId w:val="4"/>
              </w:numPr>
              <w:spacing w:before="120" w:after="0" w:line="300" w:lineRule="auto"/>
              <w:ind w:left="777"/>
            </w:pPr>
            <w:r w:rsidRPr="004E3705">
              <w:rPr>
                <w:i/>
              </w:rPr>
              <w:t>Zakres przedmiotowy komercjalizacji własności intelektualnej w publicznych szkołach wyższych</w:t>
            </w:r>
            <w:r>
              <w:t>, „</w:t>
            </w:r>
            <w:r w:rsidRPr="005C2DE0">
              <w:t>Państwo i Prawo</w:t>
            </w:r>
            <w:r>
              <w:t>”, z. 10/</w:t>
            </w:r>
            <w:r w:rsidRPr="005C2DE0">
              <w:t>2016, s. 62</w:t>
            </w:r>
            <w:r>
              <w:t>–</w:t>
            </w:r>
            <w:r w:rsidRPr="005C2DE0">
              <w:t>80</w:t>
            </w:r>
            <w:r>
              <w:t>;</w:t>
            </w:r>
          </w:p>
          <w:p w14:paraId="2F9468AD" w14:textId="6F606A50" w:rsidR="005F3EA0" w:rsidRDefault="005F3EA0" w:rsidP="005F3EA0">
            <w:pPr>
              <w:numPr>
                <w:ilvl w:val="0"/>
                <w:numId w:val="4"/>
              </w:numPr>
              <w:spacing w:before="120" w:after="0" w:line="300" w:lineRule="auto"/>
              <w:ind w:left="777"/>
            </w:pPr>
            <w:r w:rsidRPr="00A143DD">
              <w:rPr>
                <w:i/>
              </w:rPr>
              <w:t>Czy utwory i przedmioty praw pokrewnych mogą być komercjalizowane</w:t>
            </w:r>
            <w:r w:rsidRPr="00A143DD">
              <w:rPr>
                <w:i/>
              </w:rPr>
              <w:br/>
              <w:t xml:space="preserve">w publicznych szkołach wyższych na podstawie art. 86d–86h </w:t>
            </w:r>
            <w:proofErr w:type="spellStart"/>
            <w:r w:rsidRPr="00A143DD">
              <w:rPr>
                <w:i/>
              </w:rPr>
              <w:t>p.s.w</w:t>
            </w:r>
            <w:proofErr w:type="spellEnd"/>
            <w:r w:rsidRPr="00A143DD">
              <w:rPr>
                <w:i/>
              </w:rPr>
              <w:t>.</w:t>
            </w:r>
            <w:r>
              <w:t xml:space="preserve"> (w:) </w:t>
            </w:r>
            <w:r w:rsidRPr="0093601F">
              <w:rPr>
                <w:i/>
              </w:rPr>
              <w:t>Teoretyczne</w:t>
            </w:r>
            <w:r>
              <w:rPr>
                <w:i/>
              </w:rPr>
              <w:br/>
            </w:r>
            <w:r w:rsidRPr="0093601F">
              <w:rPr>
                <w:i/>
              </w:rPr>
              <w:t>i praktyczne aspekty własności intelektualnej. Zbiór referatów z Seminarium Rzeczników Patentowych Szkół Wyższych, Cedzyna 12–16 września 2016 r.</w:t>
            </w:r>
            <w:r>
              <w:t>,</w:t>
            </w:r>
            <w:r w:rsidR="0028509F">
              <w:t xml:space="preserve"> </w:t>
            </w:r>
            <w:r>
              <w:t>red. A. Adamczak, „Wynalazczość i ochrona własności intelektualnej”, 2016, z. 40,</w:t>
            </w:r>
            <w:r w:rsidR="0028509F">
              <w:t xml:space="preserve"> </w:t>
            </w:r>
            <w:r>
              <w:t>s. 7–15;</w:t>
            </w:r>
          </w:p>
          <w:p w14:paraId="6B808D09" w14:textId="5D63BFD5" w:rsidR="005F3EA0" w:rsidRPr="00C81669" w:rsidRDefault="005F3EA0" w:rsidP="005F3EA0">
            <w:pPr>
              <w:numPr>
                <w:ilvl w:val="0"/>
                <w:numId w:val="4"/>
              </w:numPr>
              <w:spacing w:before="120" w:after="0" w:line="300" w:lineRule="auto"/>
              <w:ind w:left="777"/>
              <w:rPr>
                <w:lang w:val="en-US"/>
              </w:rPr>
            </w:pPr>
            <w:r w:rsidRPr="00215DCA">
              <w:rPr>
                <w:i/>
                <w:lang w:val="en-US"/>
              </w:rPr>
              <w:t>Selected aspects of legal protection of graphical user interfaces (GUIs) in the European Union – between works and designs</w:t>
            </w:r>
            <w:r>
              <w:rPr>
                <w:lang w:val="en-US"/>
              </w:rPr>
              <w:t xml:space="preserve">, </w:t>
            </w:r>
            <w:r w:rsidRPr="00352E58">
              <w:rPr>
                <w:lang w:val="en-US"/>
              </w:rPr>
              <w:t>„Polish Law Review</w:t>
            </w:r>
            <w:r>
              <w:rPr>
                <w:lang w:val="en-US"/>
              </w:rPr>
              <w:t>”,</w:t>
            </w:r>
            <w:r w:rsidRPr="00352E58">
              <w:rPr>
                <w:lang w:val="en-US"/>
              </w:rPr>
              <w:t xml:space="preserve"> 2016, </w:t>
            </w:r>
            <w:r>
              <w:rPr>
                <w:lang w:val="en-US"/>
              </w:rPr>
              <w:t>T.</w:t>
            </w:r>
            <w:r w:rsidRPr="00352E58">
              <w:rPr>
                <w:lang w:val="en-US"/>
              </w:rPr>
              <w:t xml:space="preserve"> 2,</w:t>
            </w:r>
            <w:r w:rsidR="0028509F">
              <w:rPr>
                <w:lang w:val="en-US"/>
              </w:rPr>
              <w:t xml:space="preserve"> </w:t>
            </w:r>
            <w:r w:rsidRPr="00352E58">
              <w:rPr>
                <w:lang w:val="en-US"/>
              </w:rPr>
              <w:t>nr 1, s. 136</w:t>
            </w:r>
            <w:r>
              <w:rPr>
                <w:lang w:val="en-US"/>
              </w:rPr>
              <w:t>–</w:t>
            </w:r>
            <w:r w:rsidRPr="00352E58">
              <w:rPr>
                <w:lang w:val="en-US"/>
              </w:rPr>
              <w:t>144</w:t>
            </w:r>
            <w:r>
              <w:rPr>
                <w:lang w:val="en-US"/>
              </w:rPr>
              <w:t>;</w:t>
            </w:r>
          </w:p>
          <w:p w14:paraId="3DAF8A74" w14:textId="53623D69" w:rsidR="005F3EA0" w:rsidRDefault="005F3EA0" w:rsidP="005F3EA0">
            <w:pPr>
              <w:numPr>
                <w:ilvl w:val="0"/>
                <w:numId w:val="4"/>
              </w:numPr>
              <w:spacing w:before="120" w:after="0" w:line="300" w:lineRule="auto"/>
              <w:ind w:left="777"/>
              <w:rPr>
                <w:lang w:val="en-US"/>
              </w:rPr>
            </w:pPr>
            <w:r w:rsidRPr="005E43FB">
              <w:rPr>
                <w:i/>
                <w:lang w:val="en-US"/>
              </w:rPr>
              <w:t>International Conference on Law, Patent, and Technology (ICLPT 2016), Bangkok, 19th-21st January 2016</w:t>
            </w:r>
            <w:r w:rsidRPr="00474577">
              <w:rPr>
                <w:lang w:val="en-US"/>
              </w:rPr>
              <w:t xml:space="preserve">, </w:t>
            </w:r>
            <w:proofErr w:type="spellStart"/>
            <w:r w:rsidRPr="00474577">
              <w:rPr>
                <w:lang w:val="en-US"/>
              </w:rPr>
              <w:t>sprawozdanie</w:t>
            </w:r>
            <w:proofErr w:type="spellEnd"/>
            <w:r w:rsidRPr="00474577">
              <w:rPr>
                <w:lang w:val="en-US"/>
              </w:rPr>
              <w:t>, „</w:t>
            </w:r>
            <w:proofErr w:type="spellStart"/>
            <w:r w:rsidRPr="00474577">
              <w:rPr>
                <w:lang w:val="en-US"/>
              </w:rPr>
              <w:t>Gdańskie</w:t>
            </w:r>
            <w:proofErr w:type="spellEnd"/>
            <w:r w:rsidRPr="00474577">
              <w:rPr>
                <w:lang w:val="en-US"/>
              </w:rPr>
              <w:t xml:space="preserve"> Studia </w:t>
            </w:r>
            <w:proofErr w:type="spellStart"/>
            <w:r w:rsidRPr="00474577">
              <w:rPr>
                <w:lang w:val="en-US"/>
              </w:rPr>
              <w:t>Azji</w:t>
            </w:r>
            <w:proofErr w:type="spellEnd"/>
            <w:r w:rsidRPr="00474577">
              <w:rPr>
                <w:lang w:val="en-US"/>
              </w:rPr>
              <w:t xml:space="preserve"> </w:t>
            </w:r>
            <w:proofErr w:type="spellStart"/>
            <w:r w:rsidRPr="00474577">
              <w:rPr>
                <w:lang w:val="en-US"/>
              </w:rPr>
              <w:t>Wschodniej</w:t>
            </w:r>
            <w:proofErr w:type="spellEnd"/>
            <w:r w:rsidRPr="00474577">
              <w:rPr>
                <w:lang w:val="en-US"/>
              </w:rPr>
              <w:t>”,</w:t>
            </w:r>
            <w:r w:rsidR="0028509F">
              <w:rPr>
                <w:lang w:val="en-US"/>
              </w:rPr>
              <w:t xml:space="preserve"> </w:t>
            </w:r>
            <w:r w:rsidRPr="00474577">
              <w:rPr>
                <w:lang w:val="en-US"/>
              </w:rPr>
              <w:t>nr 10/2016,</w:t>
            </w:r>
            <w:r w:rsidR="0028509F">
              <w:rPr>
                <w:lang w:val="en-US"/>
              </w:rPr>
              <w:br/>
            </w:r>
            <w:r w:rsidRPr="00474577">
              <w:rPr>
                <w:lang w:val="en-US"/>
              </w:rPr>
              <w:t>s. 188–192</w:t>
            </w:r>
            <w:r>
              <w:rPr>
                <w:lang w:val="en-US"/>
              </w:rPr>
              <w:t>;</w:t>
            </w:r>
          </w:p>
          <w:p w14:paraId="125F6B78" w14:textId="38CE8DD3" w:rsidR="005F3EA0" w:rsidRPr="0028509F" w:rsidRDefault="005F3EA0" w:rsidP="005F3EA0">
            <w:pPr>
              <w:numPr>
                <w:ilvl w:val="0"/>
                <w:numId w:val="4"/>
              </w:numPr>
              <w:spacing w:before="120" w:after="0" w:line="300" w:lineRule="auto"/>
              <w:ind w:left="777"/>
            </w:pPr>
            <w:r w:rsidRPr="008437E6">
              <w:rPr>
                <w:i/>
              </w:rPr>
              <w:t>Kumulatywna ochrona prawna wzorów przemysłowych</w:t>
            </w:r>
            <w:r>
              <w:rPr>
                <w:i/>
              </w:rPr>
              <w:t xml:space="preserve"> – </w:t>
            </w:r>
            <w:r w:rsidRPr="008437E6">
              <w:rPr>
                <w:i/>
              </w:rPr>
              <w:t>teoria oraz praktyka</w:t>
            </w:r>
            <w:r>
              <w:rPr>
                <w:i/>
              </w:rPr>
              <w:br/>
            </w:r>
            <w:r>
              <w:t xml:space="preserve">(w:) </w:t>
            </w:r>
            <w:r w:rsidRPr="00905E6B">
              <w:rPr>
                <w:i/>
              </w:rPr>
              <w:t>Ochrona i zarządzanie własnością intelektualną w szkołach wyższych w świetle obowiązujących przepisów oraz praktyki. Wybrane zagadnienia. Zbiór referatów</w:t>
            </w:r>
            <w:r>
              <w:rPr>
                <w:i/>
              </w:rPr>
              <w:br/>
            </w:r>
            <w:r w:rsidRPr="00905E6B">
              <w:rPr>
                <w:i/>
              </w:rPr>
              <w:t>z Seminarium Rzeczników Patentowych Szkół Wyższych, Cedzyna 14–18 września 2015 r.</w:t>
            </w:r>
            <w:r>
              <w:t>, red</w:t>
            </w:r>
            <w:r w:rsidRPr="008437E6">
              <w:t>. A</w:t>
            </w:r>
            <w:r>
              <w:t>.</w:t>
            </w:r>
            <w:r w:rsidRPr="008437E6">
              <w:t xml:space="preserve"> Adamczak</w:t>
            </w:r>
            <w:r>
              <w:t>, „</w:t>
            </w:r>
            <w:r w:rsidRPr="008437E6">
              <w:t>Wynalazczość i Ochrona Własności Intelektualnej</w:t>
            </w:r>
            <w:r>
              <w:t>”</w:t>
            </w:r>
            <w:r w:rsidRPr="008437E6">
              <w:t>, 2015</w:t>
            </w:r>
            <w:r>
              <w:t xml:space="preserve">, </w:t>
            </w:r>
            <w:r w:rsidRPr="008437E6">
              <w:t>z. 39</w:t>
            </w:r>
            <w:r>
              <w:t>,</w:t>
            </w:r>
            <w:r w:rsidR="0028509F">
              <w:br/>
            </w:r>
            <w:r>
              <w:t>s</w:t>
            </w:r>
            <w:r w:rsidRPr="008437E6">
              <w:t>. 43</w:t>
            </w:r>
            <w:r>
              <w:t>–</w:t>
            </w:r>
            <w:r w:rsidRPr="008437E6">
              <w:t>63</w:t>
            </w:r>
            <w:r>
              <w:t>;</w:t>
            </w:r>
          </w:p>
          <w:p w14:paraId="71AAA093" w14:textId="50E9E0AA" w:rsidR="005F3EA0" w:rsidRDefault="005F3EA0" w:rsidP="005F3EA0">
            <w:pPr>
              <w:numPr>
                <w:ilvl w:val="0"/>
                <w:numId w:val="4"/>
              </w:numPr>
              <w:spacing w:before="120" w:after="0" w:line="300" w:lineRule="auto"/>
              <w:ind w:left="777" w:hanging="357"/>
            </w:pPr>
            <w:r w:rsidRPr="00745ED5">
              <w:rPr>
                <w:i/>
              </w:rPr>
              <w:t>Prawne aspekty twórczości racjonalizatorskiej</w:t>
            </w:r>
            <w:r>
              <w:t>, artykuł, „Państwo i Prawo”,</w:t>
            </w:r>
            <w:r w:rsidR="0028509F">
              <w:t xml:space="preserve"> </w:t>
            </w:r>
            <w:r>
              <w:t>z. 6/2014,</w:t>
            </w:r>
            <w:r w:rsidR="0028509F">
              <w:br/>
            </w:r>
            <w:r>
              <w:t>s. 36–52;</w:t>
            </w:r>
          </w:p>
          <w:p w14:paraId="39DF1A45" w14:textId="77777777" w:rsidR="005F3EA0" w:rsidRDefault="005F3EA0" w:rsidP="005F3EA0">
            <w:pPr>
              <w:numPr>
                <w:ilvl w:val="0"/>
                <w:numId w:val="4"/>
              </w:numPr>
              <w:spacing w:before="120" w:after="0" w:line="300" w:lineRule="auto"/>
              <w:ind w:left="777" w:hanging="357"/>
            </w:pPr>
            <w:r w:rsidRPr="00745ED5">
              <w:rPr>
                <w:i/>
              </w:rPr>
              <w:t>Charakter prawny oraz konstrukcja wykazów towarów i usług w zgłoszeniach znaków towarowych</w:t>
            </w:r>
            <w:r w:rsidRPr="00245F60">
              <w:t>, artykuł, „Przegląd Prawa Publicznego” z. 6/2014</w:t>
            </w:r>
            <w:r>
              <w:t xml:space="preserve">, </w:t>
            </w:r>
            <w:r w:rsidRPr="00692C1C">
              <w:t>s. 9</w:t>
            </w:r>
            <w:r>
              <w:t>–</w:t>
            </w:r>
            <w:r w:rsidRPr="00692C1C">
              <w:t>17</w:t>
            </w:r>
            <w:r>
              <w:t>;</w:t>
            </w:r>
          </w:p>
          <w:p w14:paraId="3EFF8E13" w14:textId="5E471BA0" w:rsidR="005F3EA0" w:rsidRPr="00DE7B78" w:rsidRDefault="005F3EA0" w:rsidP="005F3EA0">
            <w:pPr>
              <w:numPr>
                <w:ilvl w:val="0"/>
                <w:numId w:val="4"/>
              </w:numPr>
              <w:spacing w:before="120" w:after="0" w:line="300" w:lineRule="auto"/>
              <w:ind w:left="777" w:hanging="357"/>
            </w:pPr>
            <w:r w:rsidRPr="00DE7B78">
              <w:rPr>
                <w:i/>
              </w:rPr>
              <w:t>Status prawny twórców projektów racjonalizatorskich chronionych oraz nie</w:t>
            </w:r>
            <w:r>
              <w:rPr>
                <w:i/>
              </w:rPr>
              <w:t>-</w:t>
            </w:r>
            <w:r w:rsidRPr="00DE7B78">
              <w:rPr>
                <w:i/>
              </w:rPr>
              <w:t>chronionych wyłącznymi prawami własności przemysłowej</w:t>
            </w:r>
            <w:r w:rsidRPr="00DE7B78">
              <w:t xml:space="preserve"> (glosa do wyroku NSA</w:t>
            </w:r>
            <w:r w:rsidR="005D162C">
              <w:t xml:space="preserve"> </w:t>
            </w:r>
            <w:r w:rsidRPr="00DE7B78">
              <w:t>z 23.04.2013 r.,</w:t>
            </w:r>
            <w:r w:rsidR="005D162C">
              <w:br/>
            </w:r>
            <w:r w:rsidRPr="00DE7B78">
              <w:t>II GSK 149/12), glosa, „Glosa: prawo gospodarcze w orzeczeniach</w:t>
            </w:r>
            <w:r w:rsidR="005D162C">
              <w:t xml:space="preserve"> </w:t>
            </w:r>
            <w:r w:rsidRPr="00DE7B78">
              <w:t>i komentarzach”,</w:t>
            </w:r>
            <w:r w:rsidR="005D162C">
              <w:br/>
            </w:r>
            <w:r w:rsidRPr="00DE7B78">
              <w:t>z. 1/2014, s. 83</w:t>
            </w:r>
            <w:r>
              <w:t>–</w:t>
            </w:r>
            <w:r w:rsidRPr="00DE7B78">
              <w:t>87;</w:t>
            </w:r>
          </w:p>
          <w:p w14:paraId="6CFA53E7" w14:textId="77777777" w:rsidR="005F3EA0" w:rsidRPr="00DE7B78" w:rsidRDefault="005F3EA0" w:rsidP="005F3EA0">
            <w:pPr>
              <w:numPr>
                <w:ilvl w:val="0"/>
                <w:numId w:val="4"/>
              </w:numPr>
              <w:spacing w:before="120" w:after="0" w:line="300" w:lineRule="auto"/>
              <w:ind w:left="777" w:hanging="357"/>
            </w:pPr>
            <w:r w:rsidRPr="00DE7B78">
              <w:rPr>
                <w:i/>
              </w:rPr>
              <w:lastRenderedPageBreak/>
              <w:t>Wybrane aspekty planowanej nowelizacji rozporządzenia w sprawie wspólnotowego znaku towarowego</w:t>
            </w:r>
            <w:r w:rsidRPr="00DE7B78">
              <w:t>, artykuł, „Europejski Przegląd Sądowy”, z. 11/2013, s. 19</w:t>
            </w:r>
            <w:r>
              <w:t>–</w:t>
            </w:r>
            <w:r w:rsidRPr="00DE7B78">
              <w:t>22;</w:t>
            </w:r>
          </w:p>
          <w:p w14:paraId="5A71BF6D" w14:textId="77777777" w:rsidR="005F3EA0" w:rsidRPr="00DE7B78" w:rsidRDefault="005F3EA0" w:rsidP="005F3EA0">
            <w:pPr>
              <w:numPr>
                <w:ilvl w:val="0"/>
                <w:numId w:val="4"/>
              </w:numPr>
              <w:spacing w:before="120" w:after="0" w:line="300" w:lineRule="auto"/>
              <w:ind w:left="777" w:hanging="357"/>
            </w:pPr>
            <w:r w:rsidRPr="00DE7B78">
              <w:rPr>
                <w:i/>
              </w:rPr>
              <w:t>Ochrona zarejestrowanego znaku towarowego w kontekście wykazu towarów</w:t>
            </w:r>
            <w:r w:rsidRPr="00DE7B78">
              <w:rPr>
                <w:i/>
              </w:rPr>
              <w:br/>
              <w:t>i usług (Wyrok Trybunału Sprawiedliwości z 19.06.2012 r. w sprawie C-307/10,</w:t>
            </w:r>
            <w:r w:rsidRPr="00DE7B78">
              <w:rPr>
                <w:i/>
              </w:rPr>
              <w:br/>
              <w:t xml:space="preserve">The </w:t>
            </w:r>
            <w:proofErr w:type="spellStart"/>
            <w:r w:rsidRPr="00DE7B78">
              <w:rPr>
                <w:i/>
              </w:rPr>
              <w:t>Chartered</w:t>
            </w:r>
            <w:proofErr w:type="spellEnd"/>
            <w:r w:rsidRPr="00DE7B78">
              <w:rPr>
                <w:i/>
              </w:rPr>
              <w:t xml:space="preserve"> </w:t>
            </w:r>
            <w:proofErr w:type="spellStart"/>
            <w:r w:rsidRPr="00DE7B78">
              <w:rPr>
                <w:i/>
              </w:rPr>
              <w:t>Institute</w:t>
            </w:r>
            <w:proofErr w:type="spellEnd"/>
            <w:r w:rsidRPr="00DE7B78">
              <w:rPr>
                <w:i/>
              </w:rPr>
              <w:t xml:space="preserve"> of Patent </w:t>
            </w:r>
            <w:proofErr w:type="spellStart"/>
            <w:r w:rsidRPr="00DE7B78">
              <w:rPr>
                <w:i/>
              </w:rPr>
              <w:t>Attorneys</w:t>
            </w:r>
            <w:proofErr w:type="spellEnd"/>
            <w:r w:rsidRPr="00DE7B78">
              <w:rPr>
                <w:i/>
              </w:rPr>
              <w:t xml:space="preserve"> v. </w:t>
            </w:r>
            <w:proofErr w:type="spellStart"/>
            <w:r w:rsidRPr="00DE7B78">
              <w:rPr>
                <w:i/>
              </w:rPr>
              <w:t>Registrar</w:t>
            </w:r>
            <w:proofErr w:type="spellEnd"/>
            <w:r w:rsidRPr="00DE7B78">
              <w:rPr>
                <w:i/>
              </w:rPr>
              <w:t xml:space="preserve"> of Trade Marks)</w:t>
            </w:r>
            <w:r w:rsidRPr="00DE7B78">
              <w:t>, glosa, „Glosa: prawo gospodarcze w orzeczeniach i komentarzach”, z. 1/2013, s. 81</w:t>
            </w:r>
            <w:r>
              <w:t>–</w:t>
            </w:r>
            <w:r w:rsidRPr="00DE7B78">
              <w:t>85;</w:t>
            </w:r>
          </w:p>
          <w:p w14:paraId="58C991D6" w14:textId="77777777" w:rsidR="005F3EA0" w:rsidRPr="00DE7B78" w:rsidRDefault="005F3EA0" w:rsidP="005F3EA0">
            <w:pPr>
              <w:numPr>
                <w:ilvl w:val="0"/>
                <w:numId w:val="4"/>
              </w:numPr>
              <w:spacing w:before="120" w:after="0" w:line="300" w:lineRule="auto"/>
              <w:ind w:left="777" w:hanging="357"/>
            </w:pPr>
            <w:proofErr w:type="spellStart"/>
            <w:r w:rsidRPr="00DE7B78">
              <w:rPr>
                <w:i/>
              </w:rPr>
              <w:t>Ghostwriting</w:t>
            </w:r>
            <w:proofErr w:type="spellEnd"/>
            <w:r w:rsidRPr="00DE7B78">
              <w:rPr>
                <w:i/>
              </w:rPr>
              <w:t xml:space="preserve"> jako zjawisko prawne</w:t>
            </w:r>
            <w:r w:rsidRPr="00DE7B78">
              <w:t>, artykuł, „Państwo i Prawo” z. 11/2012, s. 32</w:t>
            </w:r>
            <w:r>
              <w:t>–</w:t>
            </w:r>
            <w:r w:rsidRPr="00DE7B78">
              <w:t>46;</w:t>
            </w:r>
          </w:p>
          <w:p w14:paraId="47ECA565" w14:textId="1A42BCE9" w:rsidR="005F3EA0" w:rsidRPr="00DE7B78" w:rsidRDefault="005F3EA0" w:rsidP="005F3EA0">
            <w:pPr>
              <w:numPr>
                <w:ilvl w:val="0"/>
                <w:numId w:val="4"/>
              </w:numPr>
              <w:spacing w:before="120" w:after="0" w:line="300" w:lineRule="auto"/>
              <w:ind w:left="777" w:hanging="357"/>
            </w:pPr>
            <w:r w:rsidRPr="00DE7B78">
              <w:rPr>
                <w:i/>
              </w:rPr>
              <w:t>O konstrukcji intelektualnych dóbr osobistych</w:t>
            </w:r>
            <w:r w:rsidRPr="00DE7B78">
              <w:t>, artykuł, „Zeszyty Naukowe Uniwersytetu Jagiellońskiego Prace z Prawa Własności Intelektualnej”, z. 1/2012,</w:t>
            </w:r>
            <w:r w:rsidR="005D162C">
              <w:t xml:space="preserve"> </w:t>
            </w:r>
            <w:r w:rsidRPr="00DE7B78">
              <w:t>s. 19</w:t>
            </w:r>
            <w:r>
              <w:t>–</w:t>
            </w:r>
            <w:r w:rsidRPr="00DE7B78">
              <w:t>42;</w:t>
            </w:r>
          </w:p>
          <w:p w14:paraId="5C91E7AF" w14:textId="77777777" w:rsidR="005F3EA0" w:rsidRDefault="005F3EA0" w:rsidP="005F3EA0">
            <w:pPr>
              <w:numPr>
                <w:ilvl w:val="0"/>
                <w:numId w:val="4"/>
              </w:numPr>
              <w:spacing w:before="120" w:after="0" w:line="300" w:lineRule="auto"/>
              <w:ind w:left="777" w:hanging="357"/>
            </w:pPr>
            <w:r w:rsidRPr="00DE7B78">
              <w:rPr>
                <w:i/>
              </w:rPr>
              <w:t>Konstrukcja autorskich dóbr i praw osobistych po śmierci twórcy</w:t>
            </w:r>
            <w:r w:rsidRPr="00DE7B78">
              <w:t>, artykuł, „Państwo</w:t>
            </w:r>
            <w:r>
              <w:br/>
            </w:r>
            <w:r w:rsidRPr="00DE7B78">
              <w:t>i Prawo”, z. 11/2011, s. 32</w:t>
            </w:r>
            <w:r>
              <w:t>–</w:t>
            </w:r>
            <w:r w:rsidRPr="00DE7B78">
              <w:t>43;</w:t>
            </w:r>
          </w:p>
          <w:p w14:paraId="1A0753F3" w14:textId="7A00C83E" w:rsidR="005F3EA0" w:rsidRPr="00DE7B78" w:rsidRDefault="005F3EA0" w:rsidP="005F3EA0">
            <w:pPr>
              <w:numPr>
                <w:ilvl w:val="0"/>
                <w:numId w:val="4"/>
              </w:numPr>
              <w:spacing w:before="120" w:after="0" w:line="300" w:lineRule="auto"/>
              <w:ind w:left="777" w:hanging="357"/>
            </w:pPr>
            <w:r w:rsidRPr="00DE7B78">
              <w:rPr>
                <w:i/>
                <w:iCs/>
              </w:rPr>
              <w:t>Konstrukcja i treść podstawowych autorskich praw osobistych w systemie prawa francuskiego</w:t>
            </w:r>
            <w:r w:rsidRPr="00DE7B78">
              <w:t xml:space="preserve">, artykuł, </w:t>
            </w:r>
            <w:r w:rsidRPr="00912E19">
              <w:t xml:space="preserve">„Studia </w:t>
            </w:r>
            <w:proofErr w:type="spellStart"/>
            <w:r w:rsidRPr="00912E19">
              <w:t>Iuridica</w:t>
            </w:r>
            <w:proofErr w:type="spellEnd"/>
            <w:r w:rsidRPr="00912E19">
              <w:t xml:space="preserve"> </w:t>
            </w:r>
            <w:proofErr w:type="spellStart"/>
            <w:r w:rsidRPr="00912E19">
              <w:t>Toruniensia</w:t>
            </w:r>
            <w:proofErr w:type="spellEnd"/>
            <w:r w:rsidRPr="00912E19">
              <w:t>”</w:t>
            </w:r>
            <w:r w:rsidRPr="00DE7B78">
              <w:t xml:space="preserve">, t. V, 2009, s. </w:t>
            </w:r>
            <w:r>
              <w:t>90–</w:t>
            </w:r>
            <w:r w:rsidRPr="00DE7B78">
              <w:t>118</w:t>
            </w:r>
            <w:r>
              <w:t>.</w:t>
            </w:r>
          </w:p>
          <w:p w14:paraId="1507E97F" w14:textId="77777777" w:rsidR="00BE158B" w:rsidRDefault="00BE158B" w:rsidP="00BA16C2"/>
          <w:p w14:paraId="6A05A809" w14:textId="77777777" w:rsidR="00BE158B" w:rsidRPr="00B857CE" w:rsidRDefault="00BE158B" w:rsidP="00BA16C2"/>
        </w:tc>
      </w:tr>
      <w:tr w:rsidR="00961C16" w:rsidRPr="00B857CE" w14:paraId="23D873F5" w14:textId="77777777" w:rsidTr="48F051DD">
        <w:tc>
          <w:tcPr>
            <w:tcW w:w="8781" w:type="dxa"/>
            <w:gridSpan w:val="2"/>
          </w:tcPr>
          <w:p w14:paraId="7C0A3C60" w14:textId="77777777" w:rsidR="00961C16" w:rsidRPr="00B857CE" w:rsidRDefault="00961C16" w:rsidP="00BA16C2">
            <w:pPr>
              <w:rPr>
                <w:color w:val="233D81"/>
              </w:rPr>
            </w:pPr>
            <w:r w:rsidRPr="00B857CE">
              <w:rPr>
                <w:color w:val="233D81"/>
              </w:rPr>
              <w:lastRenderedPageBreak/>
              <w:t xml:space="preserve">Charakterystyka doświadczenia i dorobku dydaktycznego (do 600 znaków) oraz wykaz </w:t>
            </w:r>
            <w:r w:rsidRPr="00B857CE">
              <w:rPr>
                <w:b/>
                <w:color w:val="233D81"/>
              </w:rPr>
              <w:t>co najwyżej 10</w:t>
            </w:r>
            <w:r w:rsidRPr="00B857CE">
              <w:rPr>
                <w:color w:val="233D81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</w:t>
            </w:r>
            <w:r>
              <w:rPr>
                <w:color w:val="233D81"/>
              </w:rPr>
              <w:t> </w:t>
            </w:r>
            <w:r w:rsidRPr="00B857CE">
              <w:rPr>
                <w:color w:val="233D81"/>
              </w:rPr>
              <w:t>uczelni zagranicznej, np. w ramach mobilności nauczycieli akademickich).</w:t>
            </w:r>
          </w:p>
        </w:tc>
      </w:tr>
      <w:tr w:rsidR="00961C16" w:rsidRPr="00B857CE" w14:paraId="5A39BBE3" w14:textId="77777777" w:rsidTr="48F051DD">
        <w:trPr>
          <w:trHeight w:val="509"/>
        </w:trPr>
        <w:tc>
          <w:tcPr>
            <w:tcW w:w="8781" w:type="dxa"/>
            <w:gridSpan w:val="2"/>
          </w:tcPr>
          <w:p w14:paraId="41C8F396" w14:textId="0AD25140" w:rsidR="00961C16" w:rsidRPr="00B857CE" w:rsidRDefault="00770964" w:rsidP="00CA6844">
            <w:r>
              <w:t>Pracownik naukowo-dydaktyczny UG od 2000 r., adiun</w:t>
            </w:r>
            <w:r w:rsidR="00CA6844">
              <w:t>kt od 2010 r., autor podręczników naukowo-akademickich:</w:t>
            </w:r>
            <w:r>
              <w:t xml:space="preserve"> „Prawo własności intelektualnej. Zarys wykładu”, Warszawa 2016 r., oraz </w:t>
            </w:r>
            <w:r w:rsidR="00CA6844">
              <w:t>„Prawo własności intelektualnej”, Warszawa 2021 r.</w:t>
            </w:r>
          </w:p>
        </w:tc>
      </w:tr>
    </w:tbl>
    <w:p w14:paraId="72A3D3EC" w14:textId="77777777" w:rsidR="00961C16" w:rsidRDefault="00961C16"/>
    <w:sectPr w:rsidR="0096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53ADD"/>
    <w:multiLevelType w:val="hybridMultilevel"/>
    <w:tmpl w:val="1E1EB2FC"/>
    <w:lvl w:ilvl="0" w:tplc="9006AB7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07C94C70"/>
    <w:multiLevelType w:val="hybridMultilevel"/>
    <w:tmpl w:val="1E1EB2FC"/>
    <w:lvl w:ilvl="0" w:tplc="9006AB7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182E4953"/>
    <w:multiLevelType w:val="hybridMultilevel"/>
    <w:tmpl w:val="1E1EB2FC"/>
    <w:lvl w:ilvl="0" w:tplc="9006AB7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97D13D6"/>
    <w:multiLevelType w:val="hybridMultilevel"/>
    <w:tmpl w:val="BB9A737C"/>
    <w:lvl w:ilvl="0" w:tplc="9006AB7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3370566">
    <w:abstractNumId w:val="3"/>
  </w:num>
  <w:num w:numId="2" w16cid:durableId="50809262">
    <w:abstractNumId w:val="2"/>
  </w:num>
  <w:num w:numId="3" w16cid:durableId="2037583008">
    <w:abstractNumId w:val="0"/>
  </w:num>
  <w:num w:numId="4" w16cid:durableId="2085953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16"/>
    <w:rsid w:val="00003821"/>
    <w:rsid w:val="000C5053"/>
    <w:rsid w:val="001C2C51"/>
    <w:rsid w:val="0028509F"/>
    <w:rsid w:val="00300A2C"/>
    <w:rsid w:val="00340658"/>
    <w:rsid w:val="00356913"/>
    <w:rsid w:val="0038568C"/>
    <w:rsid w:val="003D24CB"/>
    <w:rsid w:val="004F3B9F"/>
    <w:rsid w:val="0050097B"/>
    <w:rsid w:val="005533BD"/>
    <w:rsid w:val="005C51C5"/>
    <w:rsid w:val="005D162C"/>
    <w:rsid w:val="005F2A03"/>
    <w:rsid w:val="005F3EA0"/>
    <w:rsid w:val="00627AF7"/>
    <w:rsid w:val="0073633A"/>
    <w:rsid w:val="00770964"/>
    <w:rsid w:val="0089173A"/>
    <w:rsid w:val="0094330D"/>
    <w:rsid w:val="00961C16"/>
    <w:rsid w:val="009A0BD6"/>
    <w:rsid w:val="00A04990"/>
    <w:rsid w:val="00AF0441"/>
    <w:rsid w:val="00B13145"/>
    <w:rsid w:val="00B262F2"/>
    <w:rsid w:val="00B66305"/>
    <w:rsid w:val="00BE158B"/>
    <w:rsid w:val="00C226C9"/>
    <w:rsid w:val="00C3332E"/>
    <w:rsid w:val="00C506E9"/>
    <w:rsid w:val="00CA6844"/>
    <w:rsid w:val="00CD6945"/>
    <w:rsid w:val="00DC0CC7"/>
    <w:rsid w:val="00E035AD"/>
    <w:rsid w:val="00E567DE"/>
    <w:rsid w:val="00EF2AF6"/>
    <w:rsid w:val="00F11FBC"/>
    <w:rsid w:val="00F70EBB"/>
    <w:rsid w:val="00FF25E0"/>
    <w:rsid w:val="19D6C23D"/>
    <w:rsid w:val="1C46D4F8"/>
    <w:rsid w:val="231D461C"/>
    <w:rsid w:val="3C18BBD6"/>
    <w:rsid w:val="3FC0DCD2"/>
    <w:rsid w:val="435DD90C"/>
    <w:rsid w:val="48F051DD"/>
    <w:rsid w:val="4B615FFF"/>
    <w:rsid w:val="554F78C9"/>
    <w:rsid w:val="5FD30B56"/>
    <w:rsid w:val="78363A09"/>
    <w:rsid w:val="7AD8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BD0C"/>
  <w15:chartTrackingRefBased/>
  <w15:docId w15:val="{1539D558-B5DA-4C52-8CB4-51CCE7A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C16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ield">
    <w:name w:val="field"/>
    <w:rsid w:val="000C5053"/>
  </w:style>
  <w:style w:type="character" w:customStyle="1" w:styleId="label">
    <w:name w:val="label"/>
    <w:rsid w:val="00500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B45C4-B3CB-46E7-B14E-66023C7E6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BE59DE-59FA-4625-8063-F0FC78F521C1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3.xml><?xml version="1.0" encoding="utf-8"?>
<ds:datastoreItem xmlns:ds="http://schemas.openxmlformats.org/officeDocument/2006/customXml" ds:itemID="{19E2C69D-427A-4DF6-9AF4-2CB0D5445A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1219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Izabela Szlagowska</cp:lastModifiedBy>
  <cp:revision>2</cp:revision>
  <dcterms:created xsi:type="dcterms:W3CDTF">2024-02-15T10:25:00Z</dcterms:created>
  <dcterms:modified xsi:type="dcterms:W3CDTF">2024-02-15T10:25:00Z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