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F39A5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40F35C13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1"/>
        <w:gridCol w:w="7076"/>
      </w:tblGrid>
      <w:tr w:rsidR="00961C16" w:rsidRPr="00B857CE" w14:paraId="5107C8AA" w14:textId="77777777" w:rsidTr="48F051DD">
        <w:tc>
          <w:tcPr>
            <w:tcW w:w="1672" w:type="dxa"/>
            <w:tcBorders>
              <w:right w:val="nil"/>
            </w:tcBorders>
          </w:tcPr>
          <w:p w14:paraId="5320211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12A14CB0" w14:textId="77777777" w:rsidR="00961C16" w:rsidRPr="00B857CE" w:rsidRDefault="00827DA7" w:rsidP="00BA16C2">
            <w:pPr>
              <w:rPr>
                <w:color w:val="000000"/>
              </w:rPr>
            </w:pPr>
            <w:r>
              <w:rPr>
                <w:color w:val="000000"/>
              </w:rPr>
              <w:t>Jacek Zaucha</w:t>
            </w:r>
          </w:p>
        </w:tc>
      </w:tr>
      <w:tr w:rsidR="00961C16" w:rsidRPr="00B857CE" w14:paraId="3E25EE41" w14:textId="77777777" w:rsidTr="48F051DD">
        <w:tc>
          <w:tcPr>
            <w:tcW w:w="8781" w:type="dxa"/>
            <w:gridSpan w:val="2"/>
          </w:tcPr>
          <w:p w14:paraId="32A9FB99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78F5459B" w14:textId="77777777" w:rsidTr="48F051DD">
        <w:trPr>
          <w:trHeight w:val="563"/>
        </w:trPr>
        <w:tc>
          <w:tcPr>
            <w:tcW w:w="8781" w:type="dxa"/>
            <w:gridSpan w:val="2"/>
          </w:tcPr>
          <w:p w14:paraId="50320D01" w14:textId="77777777" w:rsidR="00961C16" w:rsidRDefault="00827DA7" w:rsidP="00BA16C2">
            <w:r>
              <w:t>Prof. dr hab. ekonomia i finanse</w:t>
            </w:r>
          </w:p>
          <w:p w14:paraId="2B29AD97" w14:textId="77777777" w:rsidR="00827DA7" w:rsidRPr="008F6D41" w:rsidRDefault="00827DA7" w:rsidP="008F6D41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8F6D41">
              <w:rPr>
                <w:rFonts w:asciiTheme="minorHAnsi" w:hAnsiTheme="minorHAnsi" w:cstheme="minorHAnsi"/>
                <w:szCs w:val="22"/>
              </w:rPr>
              <w:t xml:space="preserve">Magister Ekonomii, 1984 </w:t>
            </w:r>
            <w:r w:rsidR="00D73693" w:rsidRPr="008F6D41">
              <w:rPr>
                <w:rFonts w:asciiTheme="minorHAnsi" w:hAnsiTheme="minorHAnsi" w:cstheme="minorHAnsi"/>
                <w:szCs w:val="22"/>
              </w:rPr>
              <w:t>/</w:t>
            </w:r>
            <w:r w:rsidRPr="008F6D41">
              <w:rPr>
                <w:rFonts w:asciiTheme="minorHAnsi" w:hAnsiTheme="minorHAnsi" w:cstheme="minorHAnsi"/>
                <w:szCs w:val="22"/>
              </w:rPr>
              <w:t>Doktor Ekonomii</w:t>
            </w:r>
            <w:r w:rsidR="00D73693" w:rsidRPr="008F6D41">
              <w:rPr>
                <w:rFonts w:asciiTheme="minorHAnsi" w:hAnsiTheme="minorHAnsi" w:cstheme="minorHAnsi"/>
                <w:szCs w:val="22"/>
              </w:rPr>
              <w:t>/</w:t>
            </w:r>
            <w:r w:rsidRPr="008F6D41">
              <w:rPr>
                <w:rFonts w:asciiTheme="minorHAnsi" w:hAnsiTheme="minorHAnsi" w:cstheme="minorHAnsi"/>
                <w:szCs w:val="22"/>
              </w:rPr>
              <w:t xml:space="preserve"> Doktor habilitowany</w:t>
            </w:r>
            <w:r w:rsidR="00EF3DF3" w:rsidRPr="008F6D41">
              <w:rPr>
                <w:rFonts w:asciiTheme="minorHAnsi" w:hAnsiTheme="minorHAnsi" w:cstheme="minorHAnsi"/>
                <w:szCs w:val="22"/>
              </w:rPr>
              <w:t xml:space="preserve"> Ekonomii</w:t>
            </w:r>
            <w:r w:rsidRPr="008F6D41">
              <w:rPr>
                <w:rFonts w:asciiTheme="minorHAnsi" w:hAnsiTheme="minorHAnsi" w:cstheme="minorHAnsi"/>
                <w:szCs w:val="22"/>
              </w:rPr>
              <w:t>, 2009</w:t>
            </w:r>
            <w:r w:rsidR="00D73693" w:rsidRPr="008F6D41">
              <w:rPr>
                <w:rFonts w:asciiTheme="minorHAnsi" w:hAnsiTheme="minorHAnsi" w:cstheme="minorHAnsi"/>
                <w:szCs w:val="22"/>
              </w:rPr>
              <w:t xml:space="preserve">/ </w:t>
            </w:r>
            <w:r w:rsidRPr="008F6D41">
              <w:rPr>
                <w:rFonts w:asciiTheme="minorHAnsi" w:hAnsiTheme="minorHAnsi" w:cstheme="minorHAnsi"/>
                <w:szCs w:val="22"/>
              </w:rPr>
              <w:t xml:space="preserve"> Profesor</w:t>
            </w:r>
            <w:r w:rsidR="00EF3DF3" w:rsidRPr="008F6D41">
              <w:rPr>
                <w:rFonts w:asciiTheme="minorHAnsi" w:hAnsiTheme="minorHAnsi" w:cstheme="minorHAnsi"/>
                <w:szCs w:val="22"/>
              </w:rPr>
              <w:t xml:space="preserve"> dziedzina nauki społeczne</w:t>
            </w:r>
            <w:r w:rsidRPr="008F6D41">
              <w:rPr>
                <w:rFonts w:asciiTheme="minorHAnsi" w:hAnsiTheme="minorHAnsi" w:cstheme="minorHAnsi"/>
                <w:szCs w:val="22"/>
              </w:rPr>
              <w:t xml:space="preserve">, 2019, </w:t>
            </w:r>
          </w:p>
        </w:tc>
      </w:tr>
      <w:tr w:rsidR="00961C16" w:rsidRPr="00B857CE" w14:paraId="5D55EA56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747C3DA5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12FBCB4D" w14:textId="77777777" w:rsidTr="48F051DD">
        <w:trPr>
          <w:trHeight w:val="563"/>
        </w:trPr>
        <w:tc>
          <w:tcPr>
            <w:tcW w:w="8781" w:type="dxa"/>
            <w:gridSpan w:val="2"/>
          </w:tcPr>
          <w:p w14:paraId="440BC7C6" w14:textId="77777777" w:rsidR="00C506E9" w:rsidRPr="00B857CE" w:rsidRDefault="00C506E9" w:rsidP="48F051DD">
            <w:pPr>
              <w:rPr>
                <w:color w:val="002060"/>
              </w:rPr>
            </w:pPr>
            <w:r w:rsidRPr="00C506E9">
              <w:rPr>
                <w:color w:val="002060"/>
              </w:rPr>
              <w:t>Biznes chemiczny:</w:t>
            </w:r>
            <w:r w:rsidR="00827DA7">
              <w:rPr>
                <w:color w:val="002060"/>
              </w:rPr>
              <w:t xml:space="preserve"> </w:t>
            </w:r>
            <w:r w:rsidR="00EF3DF3" w:rsidRPr="00FC301C">
              <w:t>Lata 2019-2022</w:t>
            </w:r>
            <w:r w:rsidR="00EF3DF3">
              <w:t xml:space="preserve"> </w:t>
            </w:r>
            <w:r w:rsidR="00827DA7">
              <w:rPr>
                <w:color w:val="002060"/>
              </w:rPr>
              <w:t xml:space="preserve">Podejmowanie decyzji biznesowych 15h wykład i 15h </w:t>
            </w:r>
            <w:r w:rsidR="00BF1D30">
              <w:rPr>
                <w:color w:val="002060"/>
              </w:rPr>
              <w:t>ćwiczeń</w:t>
            </w:r>
            <w:r w:rsidR="00EF3DF3">
              <w:rPr>
                <w:color w:val="002060"/>
              </w:rPr>
              <w:t xml:space="preserve"> (3 semestr)</w:t>
            </w:r>
          </w:p>
        </w:tc>
      </w:tr>
      <w:tr w:rsidR="00961C16" w:rsidRPr="00B857CE" w14:paraId="5093B688" w14:textId="77777777" w:rsidTr="48F051DD">
        <w:tc>
          <w:tcPr>
            <w:tcW w:w="8781" w:type="dxa"/>
            <w:gridSpan w:val="2"/>
          </w:tcPr>
          <w:p w14:paraId="60B310AD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945DB2" w14:paraId="61DCD276" w14:textId="77777777" w:rsidTr="48F051DD">
        <w:trPr>
          <w:trHeight w:val="500"/>
        </w:trPr>
        <w:tc>
          <w:tcPr>
            <w:tcW w:w="8781" w:type="dxa"/>
            <w:gridSpan w:val="2"/>
          </w:tcPr>
          <w:p w14:paraId="4DCE58A5" w14:textId="77777777" w:rsidR="00EF3DF3" w:rsidRPr="00822CB2" w:rsidRDefault="00EF3DF3" w:rsidP="00827DA7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22CB2">
              <w:rPr>
                <w:rFonts w:asciiTheme="minorHAnsi" w:hAnsiTheme="minorHAnsi" w:cstheme="minorHAnsi"/>
                <w:szCs w:val="22"/>
              </w:rPr>
              <w:t>Dziedzina: nauki społeczne, Dyscyplina; ekonomia i finanse; Tematyka badawcza:</w:t>
            </w:r>
            <w:r w:rsidR="00827DA7" w:rsidRPr="00822CB2">
              <w:rPr>
                <w:rFonts w:asciiTheme="minorHAnsi" w:hAnsiTheme="minorHAnsi" w:cstheme="minorHAnsi"/>
                <w:szCs w:val="22"/>
              </w:rPr>
              <w:t xml:space="preserve"> spójnoś</w:t>
            </w:r>
            <w:r w:rsidRPr="00822CB2">
              <w:rPr>
                <w:rFonts w:asciiTheme="minorHAnsi" w:hAnsiTheme="minorHAnsi" w:cstheme="minorHAnsi"/>
                <w:szCs w:val="22"/>
              </w:rPr>
              <w:t>ć terytorialna</w:t>
            </w:r>
            <w:r w:rsidR="00827DA7" w:rsidRPr="00822CB2">
              <w:rPr>
                <w:rFonts w:asciiTheme="minorHAnsi" w:hAnsiTheme="minorHAnsi" w:cstheme="minorHAnsi"/>
                <w:szCs w:val="22"/>
              </w:rPr>
              <w:t>, terytorializacj</w:t>
            </w:r>
            <w:r w:rsidRPr="00822CB2">
              <w:rPr>
                <w:rFonts w:asciiTheme="minorHAnsi" w:hAnsiTheme="minorHAnsi" w:cstheme="minorHAnsi"/>
                <w:szCs w:val="22"/>
              </w:rPr>
              <w:t>a polityki rozwoju, ekonomia</w:t>
            </w:r>
            <w:r w:rsidR="00827DA7" w:rsidRPr="00822CB2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BF1D30" w:rsidRPr="00822CB2">
              <w:rPr>
                <w:rFonts w:asciiTheme="minorHAnsi" w:hAnsiTheme="minorHAnsi" w:cstheme="minorHAnsi"/>
                <w:szCs w:val="22"/>
              </w:rPr>
              <w:t>podejmowania decyzji przez interesariuszy</w:t>
            </w:r>
            <w:r w:rsidR="00827DA7" w:rsidRPr="00822CB2">
              <w:rPr>
                <w:rFonts w:asciiTheme="minorHAnsi" w:hAnsiTheme="minorHAnsi" w:cstheme="minorHAnsi"/>
                <w:szCs w:val="22"/>
              </w:rPr>
              <w:t xml:space="preserve"> oraz  rozw</w:t>
            </w:r>
            <w:r w:rsidRPr="00822CB2">
              <w:rPr>
                <w:rFonts w:asciiTheme="minorHAnsi" w:hAnsiTheme="minorHAnsi" w:cstheme="minorHAnsi"/>
                <w:szCs w:val="22"/>
              </w:rPr>
              <w:t xml:space="preserve">ój </w:t>
            </w:r>
            <w:r w:rsidR="00827DA7" w:rsidRPr="00822CB2">
              <w:rPr>
                <w:rFonts w:asciiTheme="minorHAnsi" w:hAnsiTheme="minorHAnsi" w:cstheme="minorHAnsi"/>
                <w:szCs w:val="22"/>
              </w:rPr>
              <w:t>przestrzenn</w:t>
            </w:r>
            <w:r w:rsidRPr="00822CB2">
              <w:rPr>
                <w:rFonts w:asciiTheme="minorHAnsi" w:hAnsiTheme="minorHAnsi" w:cstheme="minorHAnsi"/>
                <w:szCs w:val="22"/>
              </w:rPr>
              <w:t>y</w:t>
            </w:r>
            <w:r w:rsidR="00827DA7" w:rsidRPr="00822CB2">
              <w:rPr>
                <w:rFonts w:asciiTheme="minorHAnsi" w:hAnsiTheme="minorHAnsi" w:cstheme="minorHAnsi"/>
                <w:szCs w:val="22"/>
              </w:rPr>
              <w:t xml:space="preserve">  obszarów morskich.</w:t>
            </w:r>
          </w:p>
          <w:p w14:paraId="002B9899" w14:textId="77777777" w:rsidR="004666C2" w:rsidRPr="008F6D41" w:rsidRDefault="004666C2" w:rsidP="004666C2">
            <w:pPr>
              <w:rPr>
                <w:rFonts w:asciiTheme="minorHAnsi" w:hAnsiTheme="minorHAnsi" w:cstheme="minorHAnsi"/>
                <w:b/>
              </w:rPr>
            </w:pPr>
            <w:r w:rsidRPr="008F6D41">
              <w:rPr>
                <w:rFonts w:asciiTheme="minorHAnsi" w:hAnsiTheme="minorHAnsi" w:cstheme="minorHAnsi"/>
                <w:b/>
                <w:szCs w:val="22"/>
              </w:rPr>
              <w:t>Najważniejsze osiągnięcia:</w:t>
            </w:r>
          </w:p>
          <w:p w14:paraId="2389D337" w14:textId="77777777" w:rsidR="004666C2" w:rsidRPr="00822CB2" w:rsidRDefault="004666C2" w:rsidP="004666C2">
            <w:pPr>
              <w:rPr>
                <w:rFonts w:asciiTheme="minorHAnsi" w:hAnsiTheme="minorHAnsi" w:cstheme="minorHAnsi"/>
              </w:rPr>
            </w:pPr>
            <w:r w:rsidRPr="00822CB2">
              <w:rPr>
                <w:rFonts w:asciiTheme="minorHAnsi" w:hAnsiTheme="minorHAnsi" w:cstheme="minorHAnsi"/>
                <w:szCs w:val="22"/>
              </w:rPr>
              <w:t>- Rozwój metod analizy rozwoju przestrzennego obszarów morskich</w:t>
            </w:r>
          </w:p>
          <w:p w14:paraId="7978B035" w14:textId="77777777" w:rsidR="004666C2" w:rsidRPr="00822CB2" w:rsidRDefault="004666C2" w:rsidP="004666C2">
            <w:pPr>
              <w:rPr>
                <w:rFonts w:asciiTheme="minorHAnsi" w:hAnsiTheme="minorHAnsi" w:cstheme="minorHAnsi"/>
              </w:rPr>
            </w:pPr>
            <w:r w:rsidRPr="00822CB2">
              <w:rPr>
                <w:rFonts w:asciiTheme="minorHAnsi" w:hAnsiTheme="minorHAnsi" w:cstheme="minorHAnsi"/>
                <w:szCs w:val="22"/>
              </w:rPr>
              <w:t>- Opracowanie pierwszego w Polsce planu rozwoju przestrzennego obszarów morskich</w:t>
            </w:r>
          </w:p>
          <w:p w14:paraId="260CD791" w14:textId="77777777" w:rsidR="004666C2" w:rsidRPr="00822CB2" w:rsidRDefault="004666C2" w:rsidP="004666C2">
            <w:pPr>
              <w:rPr>
                <w:rFonts w:asciiTheme="minorHAnsi" w:hAnsiTheme="minorHAnsi" w:cstheme="minorHAnsi"/>
              </w:rPr>
            </w:pPr>
            <w:r w:rsidRPr="00822CB2">
              <w:rPr>
                <w:rFonts w:asciiTheme="minorHAnsi" w:hAnsiTheme="minorHAnsi" w:cstheme="minorHAnsi"/>
                <w:szCs w:val="22"/>
              </w:rPr>
              <w:t>- Współautorstwo Agendy Terytorialnej UE</w:t>
            </w:r>
          </w:p>
          <w:p w14:paraId="55B6A852" w14:textId="77777777" w:rsidR="004666C2" w:rsidRPr="00822CB2" w:rsidRDefault="004666C2" w:rsidP="004666C2">
            <w:pPr>
              <w:rPr>
                <w:rFonts w:asciiTheme="minorHAnsi" w:hAnsiTheme="minorHAnsi" w:cstheme="minorHAnsi"/>
              </w:rPr>
            </w:pPr>
            <w:r w:rsidRPr="00822CB2">
              <w:rPr>
                <w:rFonts w:asciiTheme="minorHAnsi" w:hAnsiTheme="minorHAnsi" w:cstheme="minorHAnsi"/>
                <w:szCs w:val="22"/>
              </w:rPr>
              <w:t>- Współautorstwo Koncepcji Przestrzennego Zagospodarowania kraju</w:t>
            </w:r>
          </w:p>
          <w:p w14:paraId="5B64390A" w14:textId="77777777" w:rsidR="004666C2" w:rsidRPr="00822CB2" w:rsidRDefault="004666C2" w:rsidP="004666C2">
            <w:pPr>
              <w:rPr>
                <w:rFonts w:asciiTheme="minorHAnsi" w:hAnsiTheme="minorHAnsi" w:cstheme="minorHAnsi"/>
              </w:rPr>
            </w:pPr>
            <w:r w:rsidRPr="00822CB2">
              <w:rPr>
                <w:rFonts w:asciiTheme="minorHAnsi" w:hAnsiTheme="minorHAnsi" w:cstheme="minorHAnsi"/>
                <w:szCs w:val="22"/>
              </w:rPr>
              <w:t xml:space="preserve">-  Rozwój metod łączenia zagadnień rozwoju przestrzennego i </w:t>
            </w:r>
            <w:proofErr w:type="spellStart"/>
            <w:r w:rsidRPr="00822CB2">
              <w:rPr>
                <w:rFonts w:asciiTheme="minorHAnsi" w:hAnsiTheme="minorHAnsi" w:cstheme="minorHAnsi"/>
                <w:szCs w:val="22"/>
              </w:rPr>
              <w:t>spoleczno</w:t>
            </w:r>
            <w:proofErr w:type="spellEnd"/>
            <w:r w:rsidRPr="00822CB2">
              <w:rPr>
                <w:rFonts w:asciiTheme="minorHAnsi" w:hAnsiTheme="minorHAnsi" w:cstheme="minorHAnsi"/>
                <w:szCs w:val="22"/>
              </w:rPr>
              <w:t>-gospodarczego w badaniach naukowych</w:t>
            </w:r>
          </w:p>
          <w:p w14:paraId="2EED1A03" w14:textId="77777777" w:rsidR="004666C2" w:rsidRPr="00822CB2" w:rsidRDefault="004666C2" w:rsidP="004666C2">
            <w:pPr>
              <w:rPr>
                <w:rFonts w:asciiTheme="minorHAnsi" w:hAnsiTheme="minorHAnsi" w:cstheme="minorHAnsi"/>
              </w:rPr>
            </w:pPr>
            <w:r w:rsidRPr="00822CB2">
              <w:rPr>
                <w:rFonts w:asciiTheme="minorHAnsi" w:hAnsiTheme="minorHAnsi" w:cstheme="minorHAnsi"/>
                <w:szCs w:val="22"/>
              </w:rPr>
              <w:t xml:space="preserve">Autor ponad 170 publikacji, ponad 2200 cytowań, </w:t>
            </w:r>
            <w:r w:rsidR="002771F5">
              <w:rPr>
                <w:rFonts w:asciiTheme="minorHAnsi" w:hAnsiTheme="minorHAnsi" w:cstheme="minorHAnsi"/>
                <w:szCs w:val="22"/>
              </w:rPr>
              <w:t>łączny IF prawie 60,</w:t>
            </w:r>
            <w:r w:rsidRPr="00822CB2">
              <w:rPr>
                <w:rFonts w:asciiTheme="minorHAnsi" w:hAnsiTheme="minorHAnsi" w:cstheme="minorHAnsi"/>
                <w:szCs w:val="22"/>
              </w:rPr>
              <w:t xml:space="preserve"> indeks Hirscha według Google Scholar </w:t>
            </w:r>
            <w:r w:rsidR="002771F5">
              <w:rPr>
                <w:rFonts w:asciiTheme="minorHAnsi" w:hAnsiTheme="minorHAnsi" w:cstheme="minorHAnsi"/>
                <w:szCs w:val="22"/>
              </w:rPr>
              <w:t>15</w:t>
            </w:r>
            <w:r w:rsidRPr="00822CB2">
              <w:rPr>
                <w:rFonts w:asciiTheme="minorHAnsi" w:hAnsiTheme="minorHAnsi" w:cstheme="minorHAnsi"/>
                <w:szCs w:val="22"/>
              </w:rPr>
              <w:t xml:space="preserve">. Za wysoką jakość prowadzonych badań naukowych </w:t>
            </w:r>
            <w:r w:rsidR="006B613E" w:rsidRPr="00822CB2">
              <w:rPr>
                <w:rFonts w:asciiTheme="minorHAnsi" w:hAnsiTheme="minorHAnsi" w:cstheme="minorHAnsi"/>
                <w:szCs w:val="22"/>
              </w:rPr>
              <w:t>2</w:t>
            </w:r>
            <w:r w:rsidRPr="00822CB2">
              <w:rPr>
                <w:rFonts w:asciiTheme="minorHAnsi" w:hAnsiTheme="minorHAnsi" w:cstheme="minorHAnsi"/>
                <w:szCs w:val="22"/>
              </w:rPr>
              <w:t>-krotnie wyróżniona zespołową Nagrodą Rektora Uniwersytetu Gdańskiego</w:t>
            </w:r>
            <w:r w:rsidR="006B613E" w:rsidRPr="00822CB2">
              <w:rPr>
                <w:rFonts w:asciiTheme="minorHAnsi" w:hAnsiTheme="minorHAnsi" w:cstheme="minorHAnsi"/>
                <w:szCs w:val="22"/>
              </w:rPr>
              <w:t xml:space="preserve"> za publikacje dot. ekonomii behawioralnej</w:t>
            </w:r>
            <w:r w:rsidRPr="00822CB2">
              <w:rPr>
                <w:rFonts w:asciiTheme="minorHAnsi" w:hAnsiTheme="minorHAnsi" w:cstheme="minorHAnsi"/>
                <w:szCs w:val="22"/>
              </w:rPr>
              <w:t xml:space="preserve">, </w:t>
            </w:r>
            <w:r w:rsidR="006B613E" w:rsidRPr="00822CB2">
              <w:rPr>
                <w:rFonts w:asciiTheme="minorHAnsi" w:hAnsiTheme="minorHAnsi" w:cstheme="minorHAnsi"/>
                <w:szCs w:val="22"/>
              </w:rPr>
              <w:t xml:space="preserve">trzykrotnie indywidualną </w:t>
            </w:r>
            <w:r w:rsidRPr="00822CB2">
              <w:rPr>
                <w:rFonts w:asciiTheme="minorHAnsi" w:hAnsiTheme="minorHAnsi" w:cstheme="minorHAnsi"/>
                <w:szCs w:val="22"/>
              </w:rPr>
              <w:t xml:space="preserve">Nagrodą Rektora Uniwersytetu </w:t>
            </w:r>
            <w:r w:rsidR="006B613E" w:rsidRPr="00822CB2">
              <w:rPr>
                <w:rFonts w:asciiTheme="minorHAnsi" w:hAnsiTheme="minorHAnsi" w:cstheme="minorHAnsi"/>
                <w:szCs w:val="22"/>
              </w:rPr>
              <w:t xml:space="preserve">Gdańskiego, </w:t>
            </w:r>
            <w:r w:rsidR="008F6D41">
              <w:rPr>
                <w:rFonts w:asciiTheme="minorHAnsi" w:hAnsiTheme="minorHAnsi" w:cstheme="minorHAnsi"/>
                <w:szCs w:val="22"/>
              </w:rPr>
              <w:t>n</w:t>
            </w:r>
            <w:r w:rsidRPr="00822CB2">
              <w:rPr>
                <w:rFonts w:asciiTheme="minorHAnsi" w:hAnsiTheme="minorHAnsi" w:cstheme="minorHAnsi"/>
                <w:szCs w:val="22"/>
              </w:rPr>
              <w:t>agrod</w:t>
            </w:r>
            <w:r w:rsidR="008F6D41">
              <w:rPr>
                <w:rFonts w:asciiTheme="minorHAnsi" w:hAnsiTheme="minorHAnsi" w:cstheme="minorHAnsi"/>
                <w:szCs w:val="22"/>
              </w:rPr>
              <w:t>ą i</w:t>
            </w:r>
            <w:r w:rsidR="006B613E" w:rsidRPr="00822CB2">
              <w:rPr>
                <w:rFonts w:asciiTheme="minorHAnsi" w:hAnsiTheme="minorHAnsi" w:cstheme="minorHAnsi"/>
                <w:szCs w:val="22"/>
              </w:rPr>
              <w:t>ndywidualną</w:t>
            </w:r>
            <w:r w:rsidRPr="00822CB2">
              <w:rPr>
                <w:rFonts w:asciiTheme="minorHAnsi" w:hAnsiTheme="minorHAnsi" w:cstheme="minorHAnsi"/>
                <w:szCs w:val="22"/>
              </w:rPr>
              <w:t xml:space="preserve"> Ministra Nauki i Szkolnictwa Wyższego za </w:t>
            </w:r>
            <w:r w:rsidR="006B613E" w:rsidRPr="00822CB2">
              <w:rPr>
                <w:rFonts w:asciiTheme="minorHAnsi" w:hAnsiTheme="minorHAnsi" w:cstheme="minorHAnsi"/>
                <w:szCs w:val="22"/>
              </w:rPr>
              <w:t xml:space="preserve">znaczące </w:t>
            </w:r>
            <w:r w:rsidRPr="00822CB2">
              <w:rPr>
                <w:rFonts w:asciiTheme="minorHAnsi" w:hAnsiTheme="minorHAnsi" w:cstheme="minorHAnsi"/>
                <w:szCs w:val="22"/>
              </w:rPr>
              <w:t>osiągnięcia naukowe (20</w:t>
            </w:r>
            <w:r w:rsidR="006B613E" w:rsidRPr="00822CB2">
              <w:rPr>
                <w:rFonts w:asciiTheme="minorHAnsi" w:hAnsiTheme="minorHAnsi" w:cstheme="minorHAnsi"/>
                <w:szCs w:val="22"/>
              </w:rPr>
              <w:t>1</w:t>
            </w:r>
            <w:r w:rsidRPr="00822CB2">
              <w:rPr>
                <w:rFonts w:asciiTheme="minorHAnsi" w:hAnsiTheme="minorHAnsi" w:cstheme="minorHAnsi"/>
                <w:szCs w:val="22"/>
              </w:rPr>
              <w:t>9)</w:t>
            </w:r>
            <w:r w:rsidR="006B613E" w:rsidRPr="00822CB2">
              <w:rPr>
                <w:rFonts w:asciiTheme="minorHAnsi" w:hAnsiTheme="minorHAnsi" w:cstheme="minorHAnsi"/>
                <w:szCs w:val="22"/>
              </w:rPr>
              <w:t xml:space="preserve"> i nagrodą naukową im. Jana Heweliusza (2023)</w:t>
            </w:r>
          </w:p>
          <w:p w14:paraId="590BB5B6" w14:textId="77777777" w:rsidR="006B613E" w:rsidRPr="00822CB2" w:rsidRDefault="006B613E" w:rsidP="006B613E">
            <w:pPr>
              <w:rPr>
                <w:rFonts w:asciiTheme="minorHAnsi" w:hAnsiTheme="minorHAnsi" w:cstheme="minorHAnsi"/>
              </w:rPr>
            </w:pPr>
            <w:r w:rsidRPr="00822CB2">
              <w:rPr>
                <w:rFonts w:asciiTheme="minorHAnsi" w:hAnsiTheme="minorHAnsi" w:cstheme="minorHAnsi"/>
                <w:b/>
                <w:szCs w:val="22"/>
              </w:rPr>
              <w:t>Wybrane publikacje (201</w:t>
            </w:r>
            <w:r w:rsidR="008F6D41">
              <w:rPr>
                <w:rFonts w:asciiTheme="minorHAnsi" w:hAnsiTheme="minorHAnsi" w:cstheme="minorHAnsi"/>
                <w:b/>
                <w:szCs w:val="22"/>
              </w:rPr>
              <w:t>9</w:t>
            </w:r>
            <w:r w:rsidRPr="00822CB2">
              <w:rPr>
                <w:rFonts w:asciiTheme="minorHAnsi" w:hAnsiTheme="minorHAnsi" w:cstheme="minorHAnsi"/>
                <w:b/>
                <w:szCs w:val="22"/>
              </w:rPr>
              <w:t>-2023)</w:t>
            </w:r>
            <w:r w:rsidRPr="00822CB2">
              <w:rPr>
                <w:rFonts w:asciiTheme="minorHAnsi" w:hAnsiTheme="minorHAnsi" w:cstheme="minorHAnsi"/>
                <w:szCs w:val="22"/>
              </w:rPr>
              <w:t>:</w:t>
            </w:r>
          </w:p>
          <w:p w14:paraId="3146F20B" w14:textId="77777777" w:rsidR="00827DA7" w:rsidRPr="00F9384E" w:rsidRDefault="00827DA7" w:rsidP="00F9384E">
            <w:pPr>
              <w:pStyle w:val="Akapitzlist"/>
              <w:numPr>
                <w:ilvl w:val="0"/>
                <w:numId w:val="4"/>
              </w:numPr>
              <w:ind w:left="430" w:hanging="283"/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</w:pPr>
            <w:r w:rsidRPr="00F9384E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Morfa A., Moodie J., Gee K., Giacometti </w:t>
            </w:r>
            <w:proofErr w:type="spellStart"/>
            <w:r w:rsidRPr="00F9384E">
              <w:rPr>
                <w:rFonts w:asciiTheme="minorHAnsi" w:hAnsiTheme="minorHAnsi" w:cstheme="minorHAnsi"/>
                <w:color w:val="000000" w:themeColor="text1"/>
                <w:lang w:val="en-AU"/>
              </w:rPr>
              <w:t>A.,.Kull</w:t>
            </w:r>
            <w:proofErr w:type="spellEnd"/>
            <w:r w:rsidRPr="00F9384E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M, Piwowarczyk J., Schiele K., Zaucha J., </w:t>
            </w:r>
            <w:proofErr w:type="spellStart"/>
            <w:r w:rsidRPr="00F9384E">
              <w:rPr>
                <w:rFonts w:asciiTheme="minorHAnsi" w:hAnsiTheme="minorHAnsi" w:cstheme="minorHAnsi"/>
                <w:color w:val="000000" w:themeColor="text1"/>
                <w:lang w:val="en-AU"/>
              </w:rPr>
              <w:t>Kellecioglub</w:t>
            </w:r>
            <w:proofErr w:type="spellEnd"/>
            <w:r w:rsidRPr="00F9384E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I., </w:t>
            </w:r>
            <w:proofErr w:type="spellStart"/>
            <w:r w:rsidRPr="00F9384E">
              <w:rPr>
                <w:rFonts w:asciiTheme="minorHAnsi" w:hAnsiTheme="minorHAnsi" w:cstheme="minorHAnsi"/>
                <w:color w:val="000000" w:themeColor="text1"/>
                <w:lang w:val="en-AU"/>
              </w:rPr>
              <w:t>Luttmanne</w:t>
            </w:r>
            <w:proofErr w:type="spellEnd"/>
            <w:r w:rsidRPr="00F9384E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A., </w:t>
            </w:r>
            <w:proofErr w:type="spellStart"/>
            <w:r w:rsidRPr="00F9384E">
              <w:rPr>
                <w:rFonts w:asciiTheme="minorHAnsi" w:hAnsiTheme="minorHAnsi" w:cstheme="minorHAnsi"/>
                <w:color w:val="000000" w:themeColor="text1"/>
                <w:lang w:val="en-AU"/>
              </w:rPr>
              <w:t>Stranda</w:t>
            </w:r>
            <w:proofErr w:type="spellEnd"/>
            <w:r w:rsidRPr="00F9384E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H., (2019) </w:t>
            </w:r>
            <w:r w:rsidRPr="00F9384E">
              <w:rPr>
                <w:rFonts w:asciiTheme="minorHAnsi" w:hAnsiTheme="minorHAnsi" w:cstheme="minorHAnsi"/>
                <w:i/>
                <w:color w:val="000000" w:themeColor="text1"/>
                <w:lang w:val="en-AU"/>
              </w:rPr>
              <w:t xml:space="preserve">Towards sustainability of marine </w:t>
            </w:r>
            <w:r w:rsidRPr="00F9384E">
              <w:rPr>
                <w:rFonts w:asciiTheme="minorHAnsi" w:hAnsiTheme="minorHAnsi" w:cstheme="minorHAnsi"/>
                <w:i/>
                <w:color w:val="000000" w:themeColor="text1"/>
                <w:lang w:val="en-AU"/>
              </w:rPr>
              <w:lastRenderedPageBreak/>
              <w:t>governance: Challenges and enablers for stakeholder integration in transboundary marine spatial planning in the Baltic Sea.</w:t>
            </w:r>
            <w:r w:rsidRPr="00F9384E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Ocean &amp; Coastal Management</w:t>
            </w:r>
            <w:r w:rsidRPr="00F9384E">
              <w:rPr>
                <w:rFonts w:asciiTheme="minorHAnsi" w:hAnsiTheme="minorHAnsi" w:cstheme="minorHAnsi"/>
                <w:i/>
                <w:color w:val="000000" w:themeColor="text1"/>
                <w:lang w:val="en-AU"/>
              </w:rPr>
              <w:t xml:space="preserve">, </w:t>
            </w:r>
            <w:r w:rsidRPr="00F9384E">
              <w:rPr>
                <w:rFonts w:asciiTheme="minorHAnsi" w:hAnsiTheme="minorHAnsi" w:cstheme="minorHAnsi"/>
                <w:color w:val="000000" w:themeColor="text1"/>
                <w:lang w:val="en-AU"/>
              </w:rPr>
              <w:t>177, ISSN 0964-5691, s. 200-212</w:t>
            </w:r>
            <w:r w:rsidR="00F9384E" w:rsidRPr="00F9384E">
              <w:rPr>
                <w:color w:val="000000" w:themeColor="text1"/>
                <w:lang w:val="en-AU"/>
              </w:rPr>
              <w:t xml:space="preserve"> IF: 4,295, 70pkt.</w:t>
            </w:r>
          </w:p>
          <w:p w14:paraId="09C04B31" w14:textId="77777777" w:rsidR="00827DA7" w:rsidRPr="00F9384E" w:rsidRDefault="00827DA7" w:rsidP="00EF3DF3">
            <w:pPr>
              <w:pStyle w:val="Akapitzlist"/>
              <w:numPr>
                <w:ilvl w:val="0"/>
                <w:numId w:val="4"/>
              </w:numPr>
              <w:ind w:left="430" w:hanging="283"/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</w:pPr>
            <w:r w:rsidRPr="00F9384E"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  <w:t xml:space="preserve">Zaucha J., Bohme K., (2020)  </w:t>
            </w:r>
            <w:r w:rsidRPr="00F9384E">
              <w:rPr>
                <w:rFonts w:asciiTheme="minorHAnsi" w:hAnsiTheme="minorHAnsi" w:cstheme="minorHAnsi"/>
                <w:bCs/>
                <w:i/>
                <w:color w:val="000000" w:themeColor="text1"/>
                <w:lang w:val="en-AU"/>
              </w:rPr>
              <w:t>Measuring territorial cohesion is not a mission impossible</w:t>
            </w:r>
            <w:r w:rsidRPr="00F9384E"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  <w:t xml:space="preserve">. European Planning Studies, 28(3), </w:t>
            </w:r>
            <w:r w:rsidRPr="00F9384E">
              <w:rPr>
                <w:rStyle w:val="Uwydatnienie"/>
                <w:rFonts w:asciiTheme="minorHAnsi" w:hAnsiTheme="minorHAnsi" w:cstheme="minorHAnsi"/>
                <w:bCs/>
                <w:color w:val="000000" w:themeColor="text1"/>
                <w:lang w:val="en-AU"/>
              </w:rPr>
              <w:t>ISSN</w:t>
            </w:r>
            <w:r w:rsidRPr="00F9384E">
              <w:rPr>
                <w:rStyle w:val="st"/>
                <w:rFonts w:asciiTheme="minorHAnsi" w:hAnsiTheme="minorHAnsi" w:cstheme="minorHAnsi"/>
                <w:bCs/>
                <w:color w:val="000000" w:themeColor="text1"/>
                <w:lang w:val="en-AU"/>
              </w:rPr>
              <w:t xml:space="preserve"> 1469-5944</w:t>
            </w:r>
            <w:r w:rsidRPr="00F9384E"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  <w:t>, s. 627-649</w:t>
            </w:r>
            <w:r w:rsidR="00C61CCE" w:rsidRPr="00F9384E">
              <w:rPr>
                <w:color w:val="000000" w:themeColor="text1"/>
                <w:lang w:val="en-AU"/>
              </w:rPr>
              <w:t xml:space="preserve"> </w:t>
            </w:r>
            <w:r w:rsidR="00040A5A" w:rsidRPr="00040A5A">
              <w:rPr>
                <w:rFonts w:asciiTheme="minorHAnsi" w:hAnsiTheme="minorHAnsi" w:cstheme="minorHAnsi"/>
                <w:color w:val="000000" w:themeColor="text1"/>
                <w:lang w:val="en-AU"/>
              </w:rPr>
              <w:t>IF: 3,777, 100 pkt</w:t>
            </w:r>
            <w:r w:rsidR="00040A5A" w:rsidRPr="00F9384E">
              <w:rPr>
                <w:color w:val="000000" w:themeColor="text1"/>
                <w:lang w:val="en-AU"/>
              </w:rPr>
              <w:t>.</w:t>
            </w:r>
          </w:p>
          <w:p w14:paraId="31115D4F" w14:textId="77777777" w:rsidR="00F9384E" w:rsidRPr="00040A5A" w:rsidRDefault="00F9384E" w:rsidP="00F9384E">
            <w:pPr>
              <w:pStyle w:val="Akapitzlist"/>
              <w:numPr>
                <w:ilvl w:val="0"/>
                <w:numId w:val="4"/>
              </w:numPr>
              <w:ind w:left="430" w:hanging="283"/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</w:pPr>
            <w:r>
              <w:t xml:space="preserve">Czermański, E., Oniszczuk-Jastrząbek, A., Zaucha, J., Pawłowska, B., Matczak, M., &amp; </w:t>
            </w:r>
            <w:r w:rsidRPr="00040A5A">
              <w:rPr>
                <w:rFonts w:asciiTheme="minorHAnsi" w:hAnsiTheme="minorHAnsi" w:cstheme="minorHAnsi"/>
              </w:rPr>
              <w:t xml:space="preserve">Szydłowski, Ł. (2021). </w:t>
            </w:r>
            <w:r w:rsidRPr="00945DB2">
              <w:rPr>
                <w:rFonts w:asciiTheme="minorHAnsi" w:hAnsiTheme="minorHAnsi" w:cstheme="minorHAnsi"/>
                <w:i/>
                <w:lang w:val="en-US"/>
              </w:rPr>
              <w:t>Preconditions of new container terminal location in the Maritime Spatial Planning framework. A case study for the Central Port Concept in Gdańsk</w:t>
            </w:r>
            <w:r w:rsidRPr="00945DB2">
              <w:rPr>
                <w:rFonts w:asciiTheme="minorHAnsi" w:hAnsiTheme="minorHAnsi" w:cstheme="minorHAnsi"/>
                <w:lang w:val="en-US"/>
              </w:rPr>
              <w:t xml:space="preserve">. </w:t>
            </w:r>
            <w:r w:rsidRPr="00040A5A">
              <w:rPr>
                <w:rFonts w:asciiTheme="minorHAnsi" w:hAnsiTheme="minorHAnsi" w:cstheme="minorHAnsi"/>
                <w:iCs/>
              </w:rPr>
              <w:t>Marine Policy</w:t>
            </w:r>
            <w:r w:rsidRPr="00040A5A">
              <w:rPr>
                <w:rFonts w:asciiTheme="minorHAnsi" w:hAnsiTheme="minorHAnsi" w:cstheme="minorHAnsi"/>
              </w:rPr>
              <w:t xml:space="preserve">, </w:t>
            </w:r>
            <w:r w:rsidRPr="00040A5A">
              <w:rPr>
                <w:rFonts w:asciiTheme="minorHAnsi" w:hAnsiTheme="minorHAnsi" w:cstheme="minorHAnsi"/>
                <w:iCs/>
              </w:rPr>
              <w:t>130</w:t>
            </w:r>
            <w:r w:rsidRPr="00040A5A">
              <w:rPr>
                <w:rFonts w:asciiTheme="minorHAnsi" w:hAnsiTheme="minorHAnsi" w:cstheme="minorHAnsi"/>
              </w:rPr>
              <w:t xml:space="preserve">, </w:t>
            </w:r>
            <w:r w:rsidR="00040A5A">
              <w:rPr>
                <w:rFonts w:asciiTheme="minorHAnsi" w:hAnsiTheme="minorHAnsi" w:cstheme="minorHAnsi"/>
              </w:rPr>
              <w:t>s.</w:t>
            </w:r>
            <w:r w:rsidRPr="00040A5A">
              <w:rPr>
                <w:rFonts w:asciiTheme="minorHAnsi" w:hAnsiTheme="minorHAnsi" w:cstheme="minorHAnsi"/>
              </w:rPr>
              <w:t xml:space="preserve">1–12. </w:t>
            </w:r>
            <w:r w:rsidRPr="00040A5A">
              <w:rPr>
                <w:rFonts w:asciiTheme="minorHAnsi" w:hAnsiTheme="minorHAnsi" w:cstheme="minorHAnsi"/>
                <w:color w:val="000000" w:themeColor="text1"/>
                <w:lang w:val="en-AU"/>
              </w:rPr>
              <w:t>IF: 4,315, 100 pkt.</w:t>
            </w:r>
          </w:p>
          <w:p w14:paraId="0235769F" w14:textId="77777777" w:rsidR="00827DA7" w:rsidRPr="00040A5A" w:rsidRDefault="00827DA7" w:rsidP="00EF3DF3">
            <w:pPr>
              <w:pStyle w:val="Akapitzlist"/>
              <w:numPr>
                <w:ilvl w:val="0"/>
                <w:numId w:val="4"/>
              </w:numPr>
              <w:ind w:left="430" w:hanging="283"/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</w:pPr>
            <w:r w:rsidRPr="00040A5A"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  <w:t xml:space="preserve">Zaucha J., Kreiner A., (2021) </w:t>
            </w:r>
            <w:r w:rsidRPr="00040A5A">
              <w:rPr>
                <w:rFonts w:asciiTheme="minorHAnsi" w:hAnsiTheme="minorHAnsi" w:cstheme="minorHAnsi"/>
                <w:bCs/>
                <w:i/>
                <w:color w:val="000000" w:themeColor="text1"/>
                <w:lang w:val="en-AU"/>
              </w:rPr>
              <w:t>Engagement of stakeholders in the marine/maritime spatial planning process</w:t>
            </w:r>
            <w:r w:rsidRPr="00040A5A"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  <w:t>.  Marine Policy,  132, ISSN 0308-597X, Article 103394, s. 1-11</w:t>
            </w:r>
            <w:r w:rsidR="00C61CCE" w:rsidRPr="00040A5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IF: 4,315, 100 pkt.</w:t>
            </w:r>
          </w:p>
          <w:p w14:paraId="581459D9" w14:textId="77777777" w:rsidR="00827DA7" w:rsidRPr="00040A5A" w:rsidRDefault="00827DA7" w:rsidP="00EF3DF3">
            <w:pPr>
              <w:pStyle w:val="Akapitzlist"/>
              <w:numPr>
                <w:ilvl w:val="0"/>
                <w:numId w:val="4"/>
              </w:numPr>
              <w:ind w:left="430" w:hanging="283"/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</w:pPr>
            <w:proofErr w:type="spellStart"/>
            <w:r w:rsidRPr="00040A5A"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  <w:t>Mogila</w:t>
            </w:r>
            <w:proofErr w:type="spellEnd"/>
            <w:r w:rsidRPr="00040A5A"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  <w:t xml:space="preserve"> Z., </w:t>
            </w:r>
            <w:proofErr w:type="spellStart"/>
            <w:r w:rsidRPr="00040A5A"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  <w:t>Ciołek</w:t>
            </w:r>
            <w:proofErr w:type="spellEnd"/>
            <w:r w:rsidRPr="00040A5A"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  <w:t xml:space="preserve"> D., Kwiatkowski J., Zaucha J., (2021) </w:t>
            </w:r>
            <w:r w:rsidRPr="00040A5A">
              <w:rPr>
                <w:rFonts w:asciiTheme="minorHAnsi" w:hAnsiTheme="minorHAnsi" w:cstheme="minorHAnsi"/>
                <w:bCs/>
                <w:i/>
                <w:color w:val="000000" w:themeColor="text1"/>
                <w:lang w:val="en-AU"/>
              </w:rPr>
              <w:t>The Baltic blue growth - A country-level shift-share analys</w:t>
            </w:r>
            <w:r w:rsidRPr="00040A5A"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  <w:t xml:space="preserve">is, Marine Policy, 134, ISSN 0308-597X,  Article 104799, s. 1-10, </w:t>
            </w:r>
            <w:r w:rsidR="00C61CCE" w:rsidRPr="00040A5A">
              <w:rPr>
                <w:rFonts w:asciiTheme="minorHAnsi" w:hAnsiTheme="minorHAnsi" w:cstheme="minorHAnsi"/>
                <w:color w:val="000000" w:themeColor="text1"/>
                <w:lang w:val="en-AU"/>
              </w:rPr>
              <w:t>IF: 4,315, 100 pkt.</w:t>
            </w:r>
          </w:p>
          <w:p w14:paraId="1FC7BA7F" w14:textId="77777777" w:rsidR="00827DA7" w:rsidRPr="00040A5A" w:rsidRDefault="00827DA7" w:rsidP="00EF3DF3">
            <w:pPr>
              <w:pStyle w:val="Akapitzlist"/>
              <w:numPr>
                <w:ilvl w:val="0"/>
                <w:numId w:val="4"/>
              </w:numPr>
              <w:ind w:left="430" w:hanging="283"/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</w:pPr>
            <w:proofErr w:type="spellStart"/>
            <w:r w:rsidRPr="00040A5A"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  <w:t>Stancheva</w:t>
            </w:r>
            <w:proofErr w:type="spellEnd"/>
            <w:r w:rsidRPr="00040A5A"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  <w:t xml:space="preserve"> M., </w:t>
            </w:r>
            <w:proofErr w:type="spellStart"/>
            <w:r w:rsidRPr="00040A5A"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  <w:t>Stanchev</w:t>
            </w:r>
            <w:proofErr w:type="spellEnd"/>
            <w:r w:rsidRPr="00040A5A"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  <w:t xml:space="preserve"> H., Zaucha J., </w:t>
            </w:r>
            <w:proofErr w:type="spellStart"/>
            <w:r w:rsidRPr="00040A5A"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  <w:t>Ramieri</w:t>
            </w:r>
            <w:proofErr w:type="spellEnd"/>
            <w:r w:rsidRPr="00040A5A"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  <w:t xml:space="preserve"> E., Roberts T., (2022) </w:t>
            </w:r>
            <w:r w:rsidRPr="00040A5A">
              <w:rPr>
                <w:rFonts w:asciiTheme="minorHAnsi" w:hAnsiTheme="minorHAnsi" w:cstheme="minorHAnsi"/>
                <w:bCs/>
                <w:i/>
                <w:color w:val="000000" w:themeColor="text1"/>
                <w:lang w:val="en-AU"/>
              </w:rPr>
              <w:t>Supporting multi-use of the sea with maritime spatial planning. The case of a multi-use opportunity development - Bulgaria, Black Sea</w:t>
            </w:r>
            <w:r w:rsidRPr="00040A5A"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  <w:t>, Marine Policy, 136, ISSN 0308-597X, Article 104927, s. 1-11</w:t>
            </w:r>
            <w:r w:rsidR="00C61CCE" w:rsidRPr="00040A5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IF: 4,315, 100 pkt.</w:t>
            </w:r>
          </w:p>
          <w:p w14:paraId="4C4A4A64" w14:textId="77777777" w:rsidR="00F9384E" w:rsidRPr="00040A5A" w:rsidRDefault="00F9384E" w:rsidP="00EF3DF3">
            <w:pPr>
              <w:pStyle w:val="Akapitzlist"/>
              <w:numPr>
                <w:ilvl w:val="0"/>
                <w:numId w:val="4"/>
              </w:numPr>
              <w:ind w:left="430" w:hanging="283"/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</w:pPr>
            <w:r w:rsidRPr="00945DB2">
              <w:rPr>
                <w:rFonts w:asciiTheme="minorHAnsi" w:hAnsiTheme="minorHAnsi" w:cstheme="minorHAnsi"/>
                <w:lang w:eastAsia="en-AU"/>
              </w:rPr>
              <w:t>Me</w:t>
            </w:r>
            <w:r w:rsidR="002771F5" w:rsidRPr="00945DB2">
              <w:rPr>
                <w:rFonts w:asciiTheme="minorHAnsi" w:hAnsiTheme="minorHAnsi" w:cstheme="minorHAnsi"/>
                <w:lang w:eastAsia="en-AU"/>
              </w:rPr>
              <w:t>deiros, E., Zaucha, J.,</w:t>
            </w:r>
            <w:r w:rsidRPr="00945DB2">
              <w:rPr>
                <w:rFonts w:asciiTheme="minorHAnsi" w:hAnsiTheme="minorHAnsi" w:cstheme="minorHAnsi"/>
                <w:lang w:eastAsia="en-AU"/>
              </w:rPr>
              <w:t xml:space="preserve"> Ciołek, D. (2022). </w:t>
            </w:r>
            <w:r w:rsidRPr="00F9384E">
              <w:rPr>
                <w:rFonts w:asciiTheme="minorHAnsi" w:hAnsiTheme="minorHAnsi" w:cstheme="minorHAnsi"/>
                <w:i/>
                <w:lang w:val="en-AU" w:eastAsia="en-AU"/>
              </w:rPr>
              <w:t>Measuring territorial cohesion trends in Europe: a correlation with EU Cohesion Polic</w:t>
            </w:r>
            <w:r w:rsidRPr="00F9384E">
              <w:rPr>
                <w:rFonts w:asciiTheme="minorHAnsi" w:hAnsiTheme="minorHAnsi" w:cstheme="minorHAnsi"/>
                <w:lang w:val="en-AU" w:eastAsia="en-AU"/>
              </w:rPr>
              <w:t xml:space="preserve">y. </w:t>
            </w:r>
            <w:r w:rsidRPr="00F9384E">
              <w:rPr>
                <w:rFonts w:asciiTheme="minorHAnsi" w:hAnsiTheme="minorHAnsi" w:cstheme="minorHAnsi"/>
                <w:iCs/>
                <w:lang w:val="en-AU" w:eastAsia="en-AU"/>
              </w:rPr>
              <w:t>European Planning Studies</w:t>
            </w:r>
            <w:r w:rsidRPr="00F9384E">
              <w:rPr>
                <w:rFonts w:asciiTheme="minorHAnsi" w:hAnsiTheme="minorHAnsi" w:cstheme="minorHAnsi"/>
                <w:lang w:val="en-AU" w:eastAsia="en-AU"/>
              </w:rPr>
              <w:t xml:space="preserve">, </w:t>
            </w:r>
            <w:r w:rsidR="00040A5A" w:rsidRPr="00040A5A">
              <w:rPr>
                <w:rStyle w:val="Uwydatnienie"/>
                <w:rFonts w:asciiTheme="minorHAnsi" w:hAnsiTheme="minorHAnsi" w:cstheme="minorHAnsi"/>
                <w:bCs/>
                <w:color w:val="000000" w:themeColor="text1"/>
                <w:lang w:val="en-AU"/>
              </w:rPr>
              <w:t>ISSN</w:t>
            </w:r>
            <w:r w:rsidR="00040A5A" w:rsidRPr="00040A5A">
              <w:rPr>
                <w:rStyle w:val="st"/>
                <w:rFonts w:asciiTheme="minorHAnsi" w:hAnsiTheme="minorHAnsi" w:cstheme="minorHAnsi"/>
                <w:bCs/>
                <w:color w:val="000000" w:themeColor="text1"/>
                <w:lang w:val="en-AU"/>
              </w:rPr>
              <w:t xml:space="preserve"> 1469-5944</w:t>
            </w:r>
            <w:r w:rsidR="00040A5A" w:rsidRPr="00040A5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040A5A">
              <w:rPr>
                <w:rFonts w:asciiTheme="minorHAnsi" w:hAnsiTheme="minorHAnsi" w:cstheme="minorHAnsi"/>
                <w:color w:val="000000" w:themeColor="text1"/>
                <w:lang w:val="en-AU"/>
              </w:rPr>
              <w:t>s.</w:t>
            </w:r>
            <w:r w:rsidRPr="00F9384E">
              <w:rPr>
                <w:rFonts w:asciiTheme="minorHAnsi" w:hAnsiTheme="minorHAnsi" w:cstheme="minorHAnsi"/>
                <w:lang w:val="en-AU" w:eastAsia="en-AU"/>
              </w:rPr>
              <w:t xml:space="preserve">1–17. </w:t>
            </w:r>
            <w:r w:rsidR="00040A5A" w:rsidRPr="00040A5A">
              <w:rPr>
                <w:rFonts w:asciiTheme="minorHAnsi" w:hAnsiTheme="minorHAnsi" w:cstheme="minorHAnsi"/>
                <w:color w:val="000000" w:themeColor="text1"/>
                <w:lang w:val="en-AU"/>
              </w:rPr>
              <w:t>IF: 3,777, 100 pkt.</w:t>
            </w:r>
          </w:p>
          <w:p w14:paraId="5914B744" w14:textId="77777777" w:rsidR="00A56E54" w:rsidRPr="00040A5A" w:rsidRDefault="00827DA7" w:rsidP="00EF3DF3">
            <w:pPr>
              <w:pStyle w:val="Akapitzlist"/>
              <w:numPr>
                <w:ilvl w:val="0"/>
                <w:numId w:val="4"/>
              </w:numPr>
              <w:ind w:left="430" w:hanging="283"/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</w:pPr>
            <w:r w:rsidRPr="00040A5A"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  <w:t xml:space="preserve">Zaucha J., Jay S., (2022) </w:t>
            </w:r>
            <w:r w:rsidRPr="00040A5A">
              <w:rPr>
                <w:rFonts w:asciiTheme="minorHAnsi" w:hAnsiTheme="minorHAnsi" w:cstheme="minorHAnsi"/>
                <w:bCs/>
                <w:i/>
                <w:color w:val="000000" w:themeColor="text1"/>
                <w:lang w:val="en-AU"/>
              </w:rPr>
              <w:t>The extension of marine spatial planning to the management of the world ocean, especially areas beyond national jurisdiction</w:t>
            </w:r>
            <w:r w:rsidRPr="00040A5A"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  <w:t>, Marine Policy, 144, ISSN 0308-597X, Article 105218, s. 1-10</w:t>
            </w:r>
            <w:r w:rsidR="00C61CCE" w:rsidRPr="00040A5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IF: 4,315, 100 pkt.</w:t>
            </w:r>
          </w:p>
          <w:p w14:paraId="0AC79CD9" w14:textId="77777777" w:rsidR="0060488C" w:rsidRPr="00040A5A" w:rsidRDefault="00827DA7" w:rsidP="0060488C">
            <w:pPr>
              <w:pStyle w:val="Akapitzlist"/>
              <w:numPr>
                <w:ilvl w:val="0"/>
                <w:numId w:val="4"/>
              </w:numPr>
              <w:ind w:left="430" w:hanging="283"/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</w:pPr>
            <w:r w:rsidRPr="00040A5A"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  <w:t xml:space="preserve"> </w:t>
            </w:r>
            <w:r w:rsidR="00A56E54" w:rsidRPr="00040A5A"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  <w:t xml:space="preserve">Kwiatkowski J, M., Zaucha J, (2023) </w:t>
            </w:r>
            <w:r w:rsidR="00A56E54" w:rsidRPr="00040A5A">
              <w:rPr>
                <w:rFonts w:asciiTheme="minorHAnsi" w:hAnsiTheme="minorHAnsi" w:cstheme="minorHAnsi"/>
                <w:bCs/>
                <w:i/>
                <w:color w:val="000000" w:themeColor="text1"/>
                <w:lang w:val="en-AU"/>
              </w:rPr>
              <w:t>Measuring the blue economy in the EU: The Polish experience</w:t>
            </w:r>
            <w:r w:rsidR="00A56E54" w:rsidRPr="00040A5A"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  <w:t>.  Frontiers in Marine Science,</w:t>
            </w:r>
            <w:r w:rsidR="00040A5A"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  <w:t xml:space="preserve"> </w:t>
            </w:r>
            <w:r w:rsidR="00040A5A" w:rsidRPr="00040A5A"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  <w:t>10</w:t>
            </w:r>
            <w:r w:rsidR="00040A5A"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  <w:t xml:space="preserve">, ISSN </w:t>
            </w:r>
            <w:r w:rsidR="00040A5A">
              <w:t>2296-7745,</w:t>
            </w:r>
            <w:r w:rsidR="00040A5A"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  <w:t xml:space="preserve"> </w:t>
            </w:r>
            <w:r w:rsidR="00A2483F" w:rsidRPr="00040A5A">
              <w:rPr>
                <w:rFonts w:asciiTheme="minorHAnsi" w:hAnsiTheme="minorHAnsi" w:cstheme="minorHAnsi"/>
                <w:color w:val="000000" w:themeColor="text1"/>
                <w:lang w:val="en-AU"/>
              </w:rPr>
              <w:t>IF:  5,247 100 pkt.</w:t>
            </w:r>
          </w:p>
          <w:p w14:paraId="26D8EEF3" w14:textId="77777777" w:rsidR="00961C16" w:rsidRPr="00F9384E" w:rsidRDefault="0060488C" w:rsidP="00EF3DF3">
            <w:pPr>
              <w:pStyle w:val="Akapitzlist"/>
              <w:numPr>
                <w:ilvl w:val="0"/>
                <w:numId w:val="4"/>
              </w:numPr>
              <w:ind w:left="430" w:hanging="283"/>
              <w:rPr>
                <w:rFonts w:asciiTheme="minorHAnsi" w:hAnsiTheme="minorHAnsi" w:cstheme="minorHAnsi"/>
                <w:bCs/>
                <w:color w:val="000000" w:themeColor="text1"/>
                <w:lang w:val="en-AU"/>
              </w:rPr>
            </w:pPr>
            <w:r w:rsidRPr="00040A5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Ansong JO., Ritchie H., Gee K., McElduff L., Zaucha J. (2023) </w:t>
            </w:r>
            <w:r w:rsidRPr="00040A5A">
              <w:rPr>
                <w:rFonts w:asciiTheme="minorHAnsi" w:hAnsiTheme="minorHAnsi" w:cstheme="minorHAnsi"/>
                <w:i/>
                <w:color w:val="000000" w:themeColor="text1"/>
                <w:lang w:val="en-AU"/>
              </w:rPr>
              <w:t xml:space="preserve">Pathways towards integrated cross-border marine spatial planning (MSP): insights from Germany, Poland and the island of </w:t>
            </w:r>
            <w:proofErr w:type="spellStart"/>
            <w:r w:rsidRPr="00040A5A">
              <w:rPr>
                <w:rFonts w:asciiTheme="minorHAnsi" w:hAnsiTheme="minorHAnsi" w:cstheme="minorHAnsi"/>
                <w:i/>
                <w:color w:val="000000" w:themeColor="text1"/>
                <w:lang w:val="en-AU"/>
              </w:rPr>
              <w:t>Ireland</w:t>
            </w:r>
            <w:r w:rsidR="00040A5A">
              <w:rPr>
                <w:rFonts w:asciiTheme="minorHAnsi" w:hAnsiTheme="minorHAnsi" w:cstheme="minorHAnsi"/>
                <w:i/>
                <w:color w:val="000000" w:themeColor="text1"/>
                <w:lang w:val="en-AU"/>
              </w:rPr>
              <w:t>,</w:t>
            </w:r>
            <w:r w:rsidRPr="00040A5A">
              <w:rPr>
                <w:rFonts w:asciiTheme="minorHAnsi" w:hAnsiTheme="minorHAnsi" w:cstheme="minorHAnsi"/>
                <w:color w:val="000000" w:themeColor="text1"/>
                <w:lang w:val="en-AU"/>
              </w:rPr>
              <w:t>European</w:t>
            </w:r>
            <w:proofErr w:type="spellEnd"/>
            <w:r w:rsidRPr="00040A5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Planning Studies</w:t>
            </w:r>
            <w:r w:rsidR="00C61CCE" w:rsidRPr="00040A5A">
              <w:rPr>
                <w:rFonts w:asciiTheme="minorHAnsi" w:hAnsiTheme="minorHAnsi" w:cstheme="minorHAnsi"/>
                <w:color w:val="000000" w:themeColor="text1"/>
                <w:lang w:val="en-AU"/>
              </w:rPr>
              <w:t>,</w:t>
            </w:r>
            <w:r w:rsidR="00C61CCE" w:rsidRPr="00040A5A">
              <w:rPr>
                <w:rStyle w:val="Uwydatnienie"/>
                <w:rFonts w:asciiTheme="minorHAnsi" w:hAnsiTheme="minorHAnsi" w:cstheme="minorHAnsi"/>
                <w:bCs/>
                <w:color w:val="000000" w:themeColor="text1"/>
                <w:lang w:val="en-AU"/>
              </w:rPr>
              <w:t xml:space="preserve"> ISSN</w:t>
            </w:r>
            <w:r w:rsidR="00C61CCE" w:rsidRPr="00040A5A">
              <w:rPr>
                <w:rStyle w:val="st"/>
                <w:rFonts w:asciiTheme="minorHAnsi" w:hAnsiTheme="minorHAnsi" w:cstheme="minorHAnsi"/>
                <w:bCs/>
                <w:color w:val="000000" w:themeColor="text1"/>
                <w:lang w:val="en-AU"/>
              </w:rPr>
              <w:t xml:space="preserve"> 1469-5944</w:t>
            </w:r>
            <w:r w:rsidR="00040A5A">
              <w:rPr>
                <w:rStyle w:val="st"/>
                <w:rFonts w:asciiTheme="minorHAnsi" w:hAnsiTheme="minorHAnsi" w:cstheme="minorHAnsi"/>
                <w:bCs/>
                <w:color w:val="000000" w:themeColor="text1"/>
                <w:lang w:val="en-AU"/>
              </w:rPr>
              <w:t xml:space="preserve">, </w:t>
            </w:r>
            <w:r w:rsidR="00C61CCE" w:rsidRPr="00040A5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IF: 3,777, 100 pkt</w:t>
            </w:r>
            <w:r w:rsidR="00C61CCE" w:rsidRPr="00F9384E">
              <w:rPr>
                <w:color w:val="000000" w:themeColor="text1"/>
                <w:lang w:val="en-AU"/>
              </w:rPr>
              <w:t>.</w:t>
            </w:r>
          </w:p>
          <w:p w14:paraId="6B53AA01" w14:textId="77777777" w:rsidR="00E80DD5" w:rsidRPr="00822CB2" w:rsidRDefault="00E80DD5" w:rsidP="00E80DD5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822CB2"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  <w:t>Najważniejsze naukowe projekty międzynarodowe (udział w zespołach badawczych) 201</w:t>
            </w:r>
            <w:r w:rsidR="00040A5A"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  <w:t>9</w:t>
            </w:r>
            <w:r w:rsidRPr="00822CB2"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  <w:t>-2023</w:t>
            </w:r>
          </w:p>
          <w:p w14:paraId="03ADDE61" w14:textId="77777777" w:rsidR="00E80DD5" w:rsidRPr="00945DB2" w:rsidRDefault="00E80DD5" w:rsidP="00822CB2">
            <w:pPr>
              <w:pStyle w:val="Nagwek1"/>
              <w:numPr>
                <w:ilvl w:val="0"/>
                <w:numId w:val="8"/>
              </w:num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45DB2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Zespół badawczy projektu</w:t>
            </w:r>
            <w:r w:rsidRPr="00945DB2">
              <w:rPr>
                <w:rFonts w:asciiTheme="minorHAnsi" w:hAnsiTheme="minorHAnsi" w:cstheme="minorHAnsi"/>
                <w:iCs/>
                <w:sz w:val="22"/>
                <w:szCs w:val="22"/>
                <w:lang w:val="pl-PL"/>
              </w:rPr>
              <w:t>:</w:t>
            </w:r>
            <w:r w:rsidRPr="00945DB2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 </w:t>
            </w:r>
            <w:r w:rsidRPr="00945DB2"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  <w:t>The role and future perspectives of Cohesion Policy in the planning of Metropolitan Areas and Cities</w:t>
            </w:r>
            <w:r w:rsidRPr="00945DB2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Pr="00945DB2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 </w:t>
            </w:r>
            <w:r w:rsidRPr="00822CB2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finansowanego przez</w:t>
            </w:r>
            <w:r w:rsidRPr="00945DB2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Pr="00945DB2">
              <w:rPr>
                <w:rFonts w:asciiTheme="minorHAnsi" w:hAnsiTheme="minorHAnsi" w:cstheme="minorHAnsi"/>
                <w:iCs/>
                <w:sz w:val="22"/>
                <w:szCs w:val="22"/>
                <w:lang w:val="pl-PL"/>
              </w:rPr>
              <w:t>ESPON</w:t>
            </w:r>
            <w:r w:rsidRPr="00945DB2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 (2020</w:t>
            </w:r>
            <w:r w:rsidRPr="00945DB2"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  <w:t>-</w:t>
            </w:r>
            <w:r w:rsidRPr="00945DB2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2021)</w:t>
            </w:r>
            <w:r w:rsidRPr="00945DB2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zarządzanego przez Politechnikę w Turynie</w:t>
            </w:r>
          </w:p>
          <w:p w14:paraId="4038E603" w14:textId="77777777" w:rsidR="00E80DD5" w:rsidRPr="00945DB2" w:rsidRDefault="00E80DD5" w:rsidP="00822CB2">
            <w:pPr>
              <w:numPr>
                <w:ilvl w:val="0"/>
                <w:numId w:val="8"/>
              </w:numPr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 w:rsidRPr="00945DB2">
              <w:rPr>
                <w:rFonts w:asciiTheme="minorHAnsi" w:hAnsiTheme="minorHAnsi" w:cstheme="minorHAnsi"/>
                <w:szCs w:val="22"/>
                <w:lang w:val="en-US"/>
              </w:rPr>
              <w:t xml:space="preserve">Zespół badawczy projektu </w:t>
            </w:r>
            <w:r w:rsidRPr="00945DB2">
              <w:rPr>
                <w:rFonts w:asciiTheme="minorHAnsi" w:hAnsiTheme="minorHAnsi" w:cstheme="minorHAnsi"/>
                <w:i/>
                <w:szCs w:val="22"/>
                <w:lang w:val="en-US"/>
              </w:rPr>
              <w:t>Improved Science-Based Maritime Spatial Planning to Safeguard and Restore Biodiversity in a coherent European MPA networ</w:t>
            </w:r>
            <w:r w:rsidRPr="00945DB2">
              <w:rPr>
                <w:rFonts w:asciiTheme="minorHAnsi" w:hAnsiTheme="minorHAnsi" w:cstheme="minorHAnsi"/>
                <w:szCs w:val="22"/>
                <w:lang w:val="en-US"/>
              </w:rPr>
              <w:t xml:space="preserve">k finansowanego przez </w:t>
            </w:r>
            <w:r w:rsidRPr="00945DB2">
              <w:rPr>
                <w:rFonts w:asciiTheme="minorHAnsi" w:hAnsiTheme="minorHAnsi" w:cstheme="minorHAnsi"/>
                <w:iCs/>
                <w:szCs w:val="22"/>
                <w:lang w:val="en-US"/>
              </w:rPr>
              <w:t xml:space="preserve">Horyzont, tj. </w:t>
            </w:r>
            <w:r w:rsidRPr="00945DB2">
              <w:rPr>
                <w:rFonts w:asciiTheme="minorHAnsi" w:hAnsiTheme="minorHAnsi" w:cstheme="minorHAnsi"/>
                <w:szCs w:val="22"/>
                <w:lang w:val="en-US"/>
              </w:rPr>
              <w:t>Horizon Europe Research and Innovation programme</w:t>
            </w:r>
            <w:r w:rsidRPr="00945DB2">
              <w:rPr>
                <w:rFonts w:asciiTheme="minorHAnsi" w:hAnsiTheme="minorHAnsi" w:cstheme="minorHAnsi"/>
                <w:iCs/>
                <w:szCs w:val="22"/>
                <w:lang w:val="en-US"/>
              </w:rPr>
              <w:t xml:space="preserve">  </w:t>
            </w:r>
            <w:r w:rsidRPr="00945DB2">
              <w:rPr>
                <w:rFonts w:asciiTheme="minorHAnsi" w:hAnsiTheme="minorHAnsi" w:cstheme="minorHAnsi"/>
                <w:szCs w:val="22"/>
                <w:lang w:val="en-US"/>
              </w:rPr>
              <w:t xml:space="preserve">(2022-2025) </w:t>
            </w:r>
            <w:r w:rsidRPr="00945DB2">
              <w:rPr>
                <w:rFonts w:asciiTheme="minorHAnsi" w:hAnsiTheme="minorHAnsi" w:cstheme="minorHAnsi"/>
                <w:iCs/>
                <w:szCs w:val="22"/>
                <w:lang w:val="en-US"/>
              </w:rPr>
              <w:t>zarządzanego przez S.Pro</w:t>
            </w:r>
          </w:p>
        </w:tc>
      </w:tr>
      <w:tr w:rsidR="00961C16" w:rsidRPr="00B857CE" w14:paraId="0A5B6A1A" w14:textId="77777777" w:rsidTr="48F051DD">
        <w:tc>
          <w:tcPr>
            <w:tcW w:w="8781" w:type="dxa"/>
            <w:gridSpan w:val="2"/>
          </w:tcPr>
          <w:p w14:paraId="6F82DCBE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</w:t>
            </w:r>
            <w:r w:rsidRPr="00B857CE">
              <w:rPr>
                <w:color w:val="233D81"/>
              </w:rPr>
              <w:lastRenderedPageBreak/>
              <w:t>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83F148C" w14:textId="77777777" w:rsidTr="48F051DD">
        <w:trPr>
          <w:trHeight w:val="509"/>
        </w:trPr>
        <w:tc>
          <w:tcPr>
            <w:tcW w:w="8781" w:type="dxa"/>
            <w:gridSpan w:val="2"/>
          </w:tcPr>
          <w:p w14:paraId="70020B55" w14:textId="77777777" w:rsidR="001403A4" w:rsidRPr="001403A4" w:rsidRDefault="001403A4" w:rsidP="006B613E">
            <w:pPr>
              <w:rPr>
                <w:u w:val="single"/>
              </w:rPr>
            </w:pPr>
            <w:r w:rsidRPr="00F34867">
              <w:rPr>
                <w:u w:val="single"/>
              </w:rPr>
              <w:lastRenderedPageBreak/>
              <w:t xml:space="preserve">Charakterystyka doświadczenia i dorobku dydaktycznego </w:t>
            </w:r>
          </w:p>
          <w:p w14:paraId="1979BC4F" w14:textId="77777777" w:rsidR="006B613E" w:rsidRPr="00822CB2" w:rsidRDefault="006B613E" w:rsidP="006B613E">
            <w:pPr>
              <w:rPr>
                <w:rFonts w:asciiTheme="minorHAnsi" w:hAnsiTheme="minorHAnsi" w:cstheme="minorHAnsi"/>
              </w:rPr>
            </w:pPr>
            <w:r w:rsidRPr="00822CB2">
              <w:rPr>
                <w:rFonts w:asciiTheme="minorHAnsi" w:hAnsiTheme="minorHAnsi" w:cstheme="minorHAnsi"/>
                <w:szCs w:val="22"/>
              </w:rPr>
              <w:t>Doświadczenie dydaktyczne w ciągu 39 lat pracy na Uniwersytecie Gdańskim obejmuje prowadzenie różnych typów zajęć (wykłady, seminaria, ćwiczenia laboratoryjne) z zakresu makroekonomii, ekonomii behawioralnej, ekonomii podejmowania decyzji . Na doświadczenie dydaktyczne składa się także prowadzenie bloku przedmiotów dyplomowych: pracownie dyplomowe, pracownie specjalizacyjne, pracownie magisterskie. Dorobek obejmuje ponadto opiekę nad licznymi pracami licencjackimi i magisterskimi oraz rozprawami doktorskimi.</w:t>
            </w:r>
          </w:p>
          <w:p w14:paraId="6E39E30F" w14:textId="77777777" w:rsidR="00961C16" w:rsidRPr="00822CB2" w:rsidRDefault="00822CB2" w:rsidP="006B613E">
            <w:pPr>
              <w:pStyle w:val="Default"/>
              <w:spacing w:after="18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Wysiłek dydaktyczny  został </w:t>
            </w:r>
            <w:r w:rsidR="006B613E" w:rsidRPr="00822CB2">
              <w:rPr>
                <w:rFonts w:asciiTheme="minorHAnsi" w:hAnsiTheme="minorHAnsi" w:cstheme="minorHAnsi"/>
                <w:sz w:val="22"/>
                <w:szCs w:val="22"/>
              </w:rPr>
              <w:t xml:space="preserve"> uhonorowan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6B613E" w:rsidRPr="00822CB2">
              <w:rPr>
                <w:rFonts w:asciiTheme="minorHAnsi" w:hAnsiTheme="minorHAnsi" w:cstheme="minorHAnsi"/>
                <w:sz w:val="22"/>
                <w:szCs w:val="22"/>
              </w:rPr>
              <w:t xml:space="preserve"> przez studentów </w:t>
            </w:r>
            <w:r w:rsidR="002B10E7" w:rsidRPr="00822CB2">
              <w:rPr>
                <w:rFonts w:asciiTheme="minorHAnsi" w:hAnsiTheme="minorHAnsi" w:cstheme="minorHAnsi"/>
                <w:sz w:val="22"/>
                <w:szCs w:val="22"/>
              </w:rPr>
              <w:t>Nagrod</w:t>
            </w:r>
            <w:r w:rsidR="006B613E" w:rsidRPr="00822CB2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="002B10E7" w:rsidRPr="00822CB2">
              <w:rPr>
                <w:rFonts w:asciiTheme="minorHAnsi" w:hAnsiTheme="minorHAnsi" w:cstheme="minorHAnsi"/>
                <w:sz w:val="22"/>
                <w:szCs w:val="22"/>
              </w:rPr>
              <w:t xml:space="preserve"> Nauczyciela Roku im. Krzysztofa Celestyna Mrongowiusza dla najlepszych nauczycieli UG (wyróżnienie 2014r.);</w:t>
            </w:r>
          </w:p>
          <w:p w14:paraId="3DC8B7C7" w14:textId="77777777" w:rsidR="002B10E7" w:rsidRPr="00B857CE" w:rsidRDefault="006B613E" w:rsidP="006B613E">
            <w:r w:rsidRPr="00822CB2">
              <w:rPr>
                <w:rFonts w:asciiTheme="minorHAnsi" w:hAnsiTheme="minorHAnsi" w:cstheme="minorHAnsi"/>
                <w:szCs w:val="22"/>
              </w:rPr>
              <w:t>Badania przyczyniły się do u</w:t>
            </w:r>
            <w:r w:rsidR="002B10E7" w:rsidRPr="00822CB2">
              <w:rPr>
                <w:rFonts w:asciiTheme="minorHAnsi" w:hAnsiTheme="minorHAnsi" w:cstheme="minorHAnsi"/>
                <w:szCs w:val="22"/>
              </w:rPr>
              <w:t>ruchomieni</w:t>
            </w:r>
            <w:r w:rsidRPr="00822CB2">
              <w:rPr>
                <w:rFonts w:asciiTheme="minorHAnsi" w:hAnsiTheme="minorHAnsi" w:cstheme="minorHAnsi"/>
                <w:szCs w:val="22"/>
              </w:rPr>
              <w:t>a</w:t>
            </w:r>
            <w:r w:rsidR="002B10E7" w:rsidRPr="00822CB2">
              <w:rPr>
                <w:rFonts w:asciiTheme="minorHAnsi" w:hAnsiTheme="minorHAnsi" w:cstheme="minorHAnsi"/>
                <w:szCs w:val="22"/>
              </w:rPr>
              <w:t xml:space="preserve"> now</w:t>
            </w:r>
            <w:r w:rsidRPr="00822CB2">
              <w:rPr>
                <w:rFonts w:asciiTheme="minorHAnsi" w:hAnsiTheme="minorHAnsi" w:cstheme="minorHAnsi"/>
                <w:szCs w:val="22"/>
              </w:rPr>
              <w:t>ych</w:t>
            </w:r>
            <w:r w:rsidR="002B10E7" w:rsidRPr="00822CB2">
              <w:rPr>
                <w:rFonts w:asciiTheme="minorHAnsi" w:hAnsiTheme="minorHAnsi" w:cstheme="minorHAnsi"/>
                <w:szCs w:val="22"/>
              </w:rPr>
              <w:t xml:space="preserve"> specjalizacji na WE UG „Sektory </w:t>
            </w:r>
            <w:proofErr w:type="spellStart"/>
            <w:r w:rsidR="002B10E7" w:rsidRPr="00822CB2">
              <w:rPr>
                <w:rFonts w:asciiTheme="minorHAnsi" w:hAnsiTheme="minorHAnsi" w:cstheme="minorHAnsi"/>
                <w:szCs w:val="22"/>
              </w:rPr>
              <w:t>ofshore</w:t>
            </w:r>
            <w:proofErr w:type="spellEnd"/>
            <w:r w:rsidR="002B10E7" w:rsidRPr="00822CB2">
              <w:rPr>
                <w:rFonts w:asciiTheme="minorHAnsi" w:hAnsiTheme="minorHAnsi" w:cstheme="minorHAnsi"/>
                <w:szCs w:val="22"/>
              </w:rPr>
              <w:t xml:space="preserve">” na studiach drugiego stopnia oraz „Business </w:t>
            </w:r>
            <w:proofErr w:type="spellStart"/>
            <w:r w:rsidR="002B10E7" w:rsidRPr="00822CB2">
              <w:rPr>
                <w:rFonts w:asciiTheme="minorHAnsi" w:hAnsiTheme="minorHAnsi" w:cstheme="minorHAnsi"/>
                <w:szCs w:val="22"/>
              </w:rPr>
              <w:t>Inteligence</w:t>
            </w:r>
            <w:proofErr w:type="spellEnd"/>
            <w:r w:rsidR="002B10E7" w:rsidRPr="006B613E">
              <w:rPr>
                <w:rFonts w:ascii="Times New Roman" w:hAnsi="Times New Roman"/>
                <w:sz w:val="24"/>
              </w:rPr>
              <w:t>”.</w:t>
            </w:r>
          </w:p>
        </w:tc>
      </w:tr>
    </w:tbl>
    <w:p w14:paraId="0704351A" w14:textId="77777777" w:rsidR="00961C16" w:rsidRDefault="00961C16"/>
    <w:sectPr w:rsidR="00961C16" w:rsidSect="00ED7D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B2C8A"/>
    <w:multiLevelType w:val="hybridMultilevel"/>
    <w:tmpl w:val="E5F43C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34CCA"/>
    <w:multiLevelType w:val="hybridMultilevel"/>
    <w:tmpl w:val="431E53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387619"/>
    <w:multiLevelType w:val="hybridMultilevel"/>
    <w:tmpl w:val="32BA832A"/>
    <w:lvl w:ilvl="0" w:tplc="0C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E12EA"/>
    <w:multiLevelType w:val="hybridMultilevel"/>
    <w:tmpl w:val="608E9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F11AA6"/>
    <w:multiLevelType w:val="hybridMultilevel"/>
    <w:tmpl w:val="1C2889BC"/>
    <w:lvl w:ilvl="0" w:tplc="0C09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5" w15:restartNumberingAfterBreak="0">
    <w:nsid w:val="76D52117"/>
    <w:multiLevelType w:val="hybridMultilevel"/>
    <w:tmpl w:val="DC7E82D4"/>
    <w:lvl w:ilvl="0" w:tplc="C97073F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2209D9"/>
    <w:multiLevelType w:val="hybridMultilevel"/>
    <w:tmpl w:val="021067B8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352816"/>
    <w:multiLevelType w:val="hybridMultilevel"/>
    <w:tmpl w:val="33C8DBD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62915510">
    <w:abstractNumId w:val="2"/>
  </w:num>
  <w:num w:numId="2" w16cid:durableId="166285451">
    <w:abstractNumId w:val="2"/>
  </w:num>
  <w:num w:numId="3" w16cid:durableId="1534609192">
    <w:abstractNumId w:val="6"/>
  </w:num>
  <w:num w:numId="4" w16cid:durableId="1527912632">
    <w:abstractNumId w:val="7"/>
  </w:num>
  <w:num w:numId="5" w16cid:durableId="1144199574">
    <w:abstractNumId w:val="5"/>
  </w:num>
  <w:num w:numId="6" w16cid:durableId="1026101841">
    <w:abstractNumId w:val="1"/>
  </w:num>
  <w:num w:numId="7" w16cid:durableId="1203055209">
    <w:abstractNumId w:val="3"/>
  </w:num>
  <w:num w:numId="8" w16cid:durableId="1184443687">
    <w:abstractNumId w:val="0"/>
  </w:num>
  <w:num w:numId="9" w16cid:durableId="18934983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C16"/>
    <w:rsid w:val="00040A5A"/>
    <w:rsid w:val="00054C61"/>
    <w:rsid w:val="001403A4"/>
    <w:rsid w:val="002771F5"/>
    <w:rsid w:val="002B10E7"/>
    <w:rsid w:val="00340658"/>
    <w:rsid w:val="003D24CB"/>
    <w:rsid w:val="004666C2"/>
    <w:rsid w:val="004F3B9F"/>
    <w:rsid w:val="005415B2"/>
    <w:rsid w:val="005461E3"/>
    <w:rsid w:val="005533BD"/>
    <w:rsid w:val="005C51C5"/>
    <w:rsid w:val="0060488C"/>
    <w:rsid w:val="006B613E"/>
    <w:rsid w:val="00767A8B"/>
    <w:rsid w:val="007717FC"/>
    <w:rsid w:val="00822CB2"/>
    <w:rsid w:val="00827DA7"/>
    <w:rsid w:val="008F6D41"/>
    <w:rsid w:val="00945DB2"/>
    <w:rsid w:val="00961C16"/>
    <w:rsid w:val="009E1220"/>
    <w:rsid w:val="00A04990"/>
    <w:rsid w:val="00A2483F"/>
    <w:rsid w:val="00A56E54"/>
    <w:rsid w:val="00B13145"/>
    <w:rsid w:val="00B66305"/>
    <w:rsid w:val="00BF1D30"/>
    <w:rsid w:val="00C23337"/>
    <w:rsid w:val="00C506E9"/>
    <w:rsid w:val="00C61CCE"/>
    <w:rsid w:val="00D73693"/>
    <w:rsid w:val="00E567DE"/>
    <w:rsid w:val="00E80DD5"/>
    <w:rsid w:val="00ED7D52"/>
    <w:rsid w:val="00EF3DF3"/>
    <w:rsid w:val="00F9384E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14B85"/>
  <w15:docId w15:val="{26042E1B-AEF6-4512-BD89-B17E22742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27DA7"/>
    <w:pPr>
      <w:keepNext/>
      <w:spacing w:after="0"/>
      <w:jc w:val="left"/>
      <w:outlineLvl w:val="0"/>
    </w:pPr>
    <w:rPr>
      <w:rFonts w:ascii="Times New Roman" w:hAnsi="Times New Roman"/>
      <w:sz w:val="24"/>
      <w:szCs w:val="20"/>
      <w:lang w:val="en-AU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27DA7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ipercze">
    <w:name w:val="Hyperlink"/>
    <w:uiPriority w:val="99"/>
    <w:unhideWhenUsed/>
    <w:rsid w:val="00827DA7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27DA7"/>
    <w:pPr>
      <w:spacing w:after="200" w:line="276" w:lineRule="auto"/>
      <w:ind w:left="720"/>
      <w:contextualSpacing/>
      <w:jc w:val="left"/>
    </w:pPr>
    <w:rPr>
      <w:rFonts w:eastAsia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827DA7"/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ny"/>
    <w:uiPriority w:val="1"/>
    <w:qFormat/>
    <w:rsid w:val="00827DA7"/>
    <w:pPr>
      <w:widowControl w:val="0"/>
      <w:autoSpaceDE w:val="0"/>
      <w:autoSpaceDN w:val="0"/>
      <w:spacing w:after="0"/>
      <w:jc w:val="left"/>
    </w:pPr>
    <w:rPr>
      <w:rFonts w:eastAsia="Calibri" w:cs="Calibri"/>
      <w:szCs w:val="22"/>
      <w:lang w:val="en-US" w:eastAsia="en-US" w:bidi="en-US"/>
    </w:rPr>
  </w:style>
  <w:style w:type="character" w:customStyle="1" w:styleId="st">
    <w:name w:val="st"/>
    <w:basedOn w:val="Domylnaczcionkaakapitu"/>
    <w:rsid w:val="00827DA7"/>
  </w:style>
  <w:style w:type="character" w:customStyle="1" w:styleId="issuetocvolume">
    <w:name w:val="issuetocvolume"/>
    <w:basedOn w:val="Domylnaczcionkaakapitu"/>
    <w:rsid w:val="00827DA7"/>
  </w:style>
  <w:style w:type="character" w:customStyle="1" w:styleId="issuetocissue">
    <w:name w:val="issuetocissue"/>
    <w:basedOn w:val="Domylnaczcionkaakapitu"/>
    <w:rsid w:val="00827DA7"/>
  </w:style>
  <w:style w:type="character" w:customStyle="1" w:styleId="serial-item">
    <w:name w:val="serial-item"/>
    <w:basedOn w:val="Domylnaczcionkaakapitu"/>
    <w:rsid w:val="00827DA7"/>
  </w:style>
  <w:style w:type="character" w:customStyle="1" w:styleId="alien">
    <w:name w:val="alien"/>
    <w:basedOn w:val="Domylnaczcionkaakapitu"/>
    <w:rsid w:val="00827DA7"/>
  </w:style>
  <w:style w:type="character" w:customStyle="1" w:styleId="native">
    <w:name w:val="native"/>
    <w:basedOn w:val="Domylnaczcionkaakapitu"/>
    <w:rsid w:val="00827DA7"/>
  </w:style>
  <w:style w:type="character" w:customStyle="1" w:styleId="title-text">
    <w:name w:val="title-text"/>
    <w:basedOn w:val="Domylnaczcionkaakapitu"/>
    <w:rsid w:val="00827DA7"/>
  </w:style>
  <w:style w:type="character" w:styleId="Uwydatnienie">
    <w:name w:val="Emphasis"/>
    <w:basedOn w:val="Domylnaczcionkaakapitu"/>
    <w:uiPriority w:val="20"/>
    <w:qFormat/>
    <w:rsid w:val="00827DA7"/>
    <w:rPr>
      <w:i/>
      <w:iCs/>
    </w:rPr>
  </w:style>
  <w:style w:type="character" w:styleId="Pogrubienie">
    <w:name w:val="Strong"/>
    <w:basedOn w:val="Domylnaczcionkaakapitu"/>
    <w:uiPriority w:val="22"/>
    <w:qFormat/>
    <w:rsid w:val="00767A8B"/>
    <w:rPr>
      <w:b/>
      <w:bCs/>
    </w:rPr>
  </w:style>
  <w:style w:type="paragraph" w:customStyle="1" w:styleId="Default">
    <w:name w:val="Default"/>
    <w:rsid w:val="002B10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arkxigcp7n24">
    <w:name w:val="markxigcp7n24"/>
    <w:basedOn w:val="Domylnaczcionkaakapitu"/>
    <w:rsid w:val="001403A4"/>
  </w:style>
  <w:style w:type="paragraph" w:styleId="Tekstdymka">
    <w:name w:val="Balloon Text"/>
    <w:basedOn w:val="Normalny"/>
    <w:link w:val="TekstdymkaZnak"/>
    <w:uiPriority w:val="99"/>
    <w:semiHidden/>
    <w:unhideWhenUsed/>
    <w:rsid w:val="0060488C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88C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A2483F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6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86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5696B-13D7-4309-A8CB-E241591C77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997</Words>
  <Characters>5982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Kumirska</dc:creator>
  <cp:lastModifiedBy>Izabela Szlagowska</cp:lastModifiedBy>
  <cp:revision>2</cp:revision>
  <dcterms:created xsi:type="dcterms:W3CDTF">2024-02-15T10:34:00Z</dcterms:created>
  <dcterms:modified xsi:type="dcterms:W3CDTF">2024-02-15T10:34:00Z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