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-165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2114"/>
        <w:gridCol w:w="7077"/>
      </w:tblGrid>
      <w:tr w:rsidR="00961C16" w:rsidRPr="00B857CE" w14:paraId="3B718BD4" w14:textId="77777777" w:rsidTr="005018F3">
        <w:trPr>
          <w:trHeight w:val="457"/>
        </w:trPr>
        <w:tc>
          <w:tcPr>
            <w:tcW w:w="2114" w:type="dxa"/>
            <w:tcBorders>
              <w:right w:val="nil"/>
            </w:tcBorders>
            <w:vAlign w:val="center"/>
          </w:tcPr>
          <w:p w14:paraId="75AA941F" w14:textId="77777777" w:rsidR="00961C16" w:rsidRPr="00B857CE" w:rsidRDefault="00961C16" w:rsidP="005018F3">
            <w:pPr>
              <w:spacing w:after="0"/>
              <w:jc w:val="left"/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7" w:type="dxa"/>
            <w:tcBorders>
              <w:left w:val="nil"/>
            </w:tcBorders>
            <w:vAlign w:val="center"/>
          </w:tcPr>
          <w:p w14:paraId="672A6659" w14:textId="10E789C5" w:rsidR="00961C16" w:rsidRPr="00B857CE" w:rsidRDefault="003D541B" w:rsidP="005018F3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JOANNA GONDEK</w:t>
            </w:r>
          </w:p>
        </w:tc>
      </w:tr>
      <w:tr w:rsidR="00961C16" w:rsidRPr="00B857CE" w14:paraId="161685AC" w14:textId="77777777" w:rsidTr="00C70DC0">
        <w:tc>
          <w:tcPr>
            <w:tcW w:w="9191" w:type="dxa"/>
            <w:gridSpan w:val="2"/>
          </w:tcPr>
          <w:p w14:paraId="3DF28EE0" w14:textId="5D5582ED" w:rsidR="00961C16" w:rsidRPr="00B857CE" w:rsidRDefault="00961C16" w:rsidP="00C70DC0">
            <w:pPr>
              <w:spacing w:after="0"/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</w:t>
            </w:r>
            <w:r w:rsidR="00E90AEE">
              <w:rPr>
                <w:color w:val="233D81"/>
              </w:rPr>
              <w:t xml:space="preserve"> </w:t>
            </w:r>
            <w:r w:rsidRPr="00B857CE">
              <w:rPr>
                <w:color w:val="233D81"/>
              </w:rPr>
              <w:t>przypadku tytułu zawodowego lekarza – specjalizacja), rok uzyskania tytułu/stopnia naukowego/tytułu zawodowego</w:t>
            </w:r>
            <w:r w:rsidR="00C70DC0">
              <w:rPr>
                <w:color w:val="233D81"/>
              </w:rPr>
              <w:t>:</w:t>
            </w:r>
          </w:p>
        </w:tc>
      </w:tr>
      <w:tr w:rsidR="00961C16" w:rsidRPr="00B857CE" w14:paraId="0A37501D" w14:textId="77777777" w:rsidTr="00C70DC0">
        <w:trPr>
          <w:trHeight w:val="563"/>
        </w:trPr>
        <w:tc>
          <w:tcPr>
            <w:tcW w:w="9191" w:type="dxa"/>
            <w:gridSpan w:val="2"/>
            <w:vAlign w:val="center"/>
          </w:tcPr>
          <w:p w14:paraId="5DAB6C7B" w14:textId="271B731B" w:rsidR="00940ECF" w:rsidRPr="00B857CE" w:rsidRDefault="00C70DC0" w:rsidP="00C70DC0">
            <w:pPr>
              <w:spacing w:after="0"/>
              <w:jc w:val="left"/>
            </w:pPr>
            <w:r w:rsidRPr="00F059FD">
              <w:t xml:space="preserve">DOKTOR </w:t>
            </w:r>
            <w:r w:rsidR="00813B26">
              <w:t>(</w:t>
            </w:r>
            <w:r w:rsidR="006D1D57">
              <w:t>dziedzina: n</w:t>
            </w:r>
            <w:r w:rsidR="00813B26">
              <w:t xml:space="preserve">auki ścisłe i przyrodnicze, </w:t>
            </w:r>
            <w:r w:rsidR="006D1D57">
              <w:t xml:space="preserve">dyscyplina: </w:t>
            </w:r>
            <w:r w:rsidRPr="006D1D57">
              <w:rPr>
                <w:caps/>
              </w:rPr>
              <w:t>NAUK</w:t>
            </w:r>
            <w:r w:rsidR="00813B26" w:rsidRPr="006D1D57">
              <w:rPr>
                <w:caps/>
              </w:rPr>
              <w:t>i</w:t>
            </w:r>
            <w:r w:rsidRPr="006D1D57">
              <w:rPr>
                <w:caps/>
              </w:rPr>
              <w:t xml:space="preserve"> FIZYCZN</w:t>
            </w:r>
            <w:r w:rsidR="00813B26" w:rsidRPr="006D1D57">
              <w:rPr>
                <w:caps/>
              </w:rPr>
              <w:t>e</w:t>
            </w:r>
            <w:r w:rsidR="00813B26">
              <w:t>;</w:t>
            </w:r>
            <w:r w:rsidR="00E90AEE">
              <w:t xml:space="preserve"> 2001 r.)</w:t>
            </w:r>
          </w:p>
        </w:tc>
      </w:tr>
      <w:tr w:rsidR="00961C16" w:rsidRPr="00B857CE" w14:paraId="46487713" w14:textId="77777777" w:rsidTr="00C70DC0">
        <w:trPr>
          <w:trHeight w:val="435"/>
        </w:trPr>
        <w:tc>
          <w:tcPr>
            <w:tcW w:w="9191" w:type="dxa"/>
            <w:gridSpan w:val="2"/>
            <w:vAlign w:val="center"/>
          </w:tcPr>
          <w:p w14:paraId="10926062" w14:textId="77777777" w:rsidR="00961C16" w:rsidRPr="00197A24" w:rsidRDefault="00961C16" w:rsidP="00C70DC0">
            <w:pPr>
              <w:spacing w:after="0"/>
            </w:pPr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C70DC0">
        <w:trPr>
          <w:trHeight w:val="563"/>
        </w:trPr>
        <w:tc>
          <w:tcPr>
            <w:tcW w:w="9191" w:type="dxa"/>
            <w:gridSpan w:val="2"/>
          </w:tcPr>
          <w:p w14:paraId="6837B329" w14:textId="3B8BA918" w:rsidR="00961C16" w:rsidRPr="00C506E9" w:rsidRDefault="00C506E9" w:rsidP="00F059FD">
            <w:pPr>
              <w:spacing w:after="0"/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C70DC0" w:rsidRPr="005018F3">
              <w:t xml:space="preserve"> </w:t>
            </w:r>
            <w:r w:rsidR="00476D1A" w:rsidRPr="005018F3">
              <w:t xml:space="preserve">Fizyka II (wykład, 15 </w:t>
            </w:r>
            <w:r w:rsidR="005018F3" w:rsidRPr="005018F3">
              <w:t>godz.)</w:t>
            </w:r>
          </w:p>
          <w:p w14:paraId="04C414D1" w14:textId="77777777" w:rsidR="00C506E9" w:rsidRPr="00C506E9" w:rsidRDefault="00C506E9" w:rsidP="00F059FD">
            <w:pPr>
              <w:spacing w:after="0"/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25FF47F2" w14:textId="5B318631" w:rsidR="00C506E9" w:rsidRPr="00B857CE" w:rsidRDefault="00C506E9" w:rsidP="00F059FD">
            <w:pPr>
              <w:spacing w:after="0"/>
            </w:pPr>
            <w:r w:rsidRPr="48F051DD">
              <w:rPr>
                <w:color w:val="002060"/>
              </w:rPr>
              <w:t>Ochrona środowiska:</w:t>
            </w:r>
          </w:p>
          <w:p w14:paraId="43EF9E25" w14:textId="66E550BF" w:rsidR="00C506E9" w:rsidRPr="00B857CE" w:rsidRDefault="3FC0DCD2" w:rsidP="00F059FD">
            <w:pPr>
              <w:spacing w:after="0"/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</w:p>
        </w:tc>
      </w:tr>
      <w:tr w:rsidR="00961C16" w:rsidRPr="00B857CE" w14:paraId="7BFF0D8D" w14:textId="77777777" w:rsidTr="00C70DC0">
        <w:tc>
          <w:tcPr>
            <w:tcW w:w="9191" w:type="dxa"/>
            <w:gridSpan w:val="2"/>
          </w:tcPr>
          <w:p w14:paraId="44A4D314" w14:textId="7E56C919" w:rsidR="00961C16" w:rsidRPr="00B857CE" w:rsidRDefault="00961C16" w:rsidP="00F059FD">
            <w:pPr>
              <w:spacing w:after="0"/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>tycznych, w</w:t>
            </w:r>
            <w:r w:rsidR="00E90AEE">
              <w:rPr>
                <w:color w:val="233D81"/>
              </w:rPr>
              <w:t xml:space="preserve"> </w:t>
            </w:r>
            <w:r w:rsidRPr="00B857CE">
              <w:rPr>
                <w:color w:val="233D81"/>
              </w:rPr>
              <w:t xml:space="preserve">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003A47A1">
        <w:trPr>
          <w:trHeight w:val="500"/>
        </w:trPr>
        <w:tc>
          <w:tcPr>
            <w:tcW w:w="9191" w:type="dxa"/>
            <w:gridSpan w:val="2"/>
            <w:vAlign w:val="center"/>
          </w:tcPr>
          <w:p w14:paraId="64F62368" w14:textId="77777777" w:rsidR="00961C16" w:rsidRDefault="00BA445D" w:rsidP="003A47A1">
            <w:pPr>
              <w:spacing w:after="0"/>
              <w:jc w:val="left"/>
            </w:pPr>
            <w:r w:rsidRPr="00CB5EE7">
              <w:t>dydaktyka fizyki na wszystkich poziomach edukacji</w:t>
            </w:r>
          </w:p>
          <w:p w14:paraId="155DFAC7" w14:textId="77777777" w:rsidR="003C6DA3" w:rsidRPr="00A454F6" w:rsidRDefault="003C6DA3" w:rsidP="00757119">
            <w:pPr>
              <w:tabs>
                <w:tab w:val="left" w:pos="284"/>
              </w:tabs>
              <w:spacing w:after="0"/>
              <w:ind w:left="284" w:hanging="284"/>
              <w:rPr>
                <w:szCs w:val="22"/>
                <w:lang w:val="en-US"/>
              </w:rPr>
            </w:pPr>
            <w:r w:rsidRPr="00A454F6">
              <w:rPr>
                <w:szCs w:val="22"/>
                <w:lang w:val="en-GB"/>
              </w:rPr>
              <w:t>–</w:t>
            </w:r>
            <w:r w:rsidRPr="00A454F6">
              <w:rPr>
                <w:szCs w:val="22"/>
                <w:lang w:val="en-GB"/>
              </w:rPr>
              <w:tab/>
            </w:r>
            <w:r w:rsidRPr="00A454F6">
              <w:rPr>
                <w:rFonts w:cs="Arial"/>
                <w:caps/>
                <w:color w:val="222222"/>
                <w:spacing w:val="3"/>
                <w:szCs w:val="22"/>
                <w:lang w:val="en-GB" w:eastAsia="ja-JP"/>
              </w:rPr>
              <w:t xml:space="preserve">Intuitive and Operational Concept of Motion and Its Evolution Along the School Education and Further, </w:t>
            </w:r>
            <w:proofErr w:type="spellStart"/>
            <w:r w:rsidRPr="009D1A6C">
              <w:rPr>
                <w:lang w:val="en-GB"/>
              </w:rPr>
              <w:t>Punsiri</w:t>
            </w:r>
            <w:proofErr w:type="spellEnd"/>
            <w:r w:rsidRPr="009D1A6C">
              <w:rPr>
                <w:lang w:val="en-GB"/>
              </w:rPr>
              <w:t xml:space="preserve"> Dam-o, Joanna Gondek, Michał Karbowiak</w:t>
            </w:r>
            <w:r w:rsidRPr="00A454F6">
              <w:rPr>
                <w:rStyle w:val="inlineblock"/>
                <w:szCs w:val="22"/>
                <w:lang w:val="en-US"/>
              </w:rPr>
              <w:t xml:space="preserve"> </w:t>
            </w:r>
            <w:r w:rsidRPr="00A454F6">
              <w:rPr>
                <w:rStyle w:val="inlineblock"/>
                <w:rFonts w:cs="Arial"/>
                <w:szCs w:val="22"/>
                <w:lang w:val="en-US"/>
              </w:rPr>
              <w:t xml:space="preserve">and </w:t>
            </w:r>
            <w:r w:rsidRPr="009D1A6C">
              <w:rPr>
                <w:lang w:val="en-GB"/>
              </w:rPr>
              <w:t xml:space="preserve">Tadeusz </w:t>
            </w:r>
            <w:proofErr w:type="spellStart"/>
            <w:r w:rsidRPr="009D1A6C">
              <w:rPr>
                <w:lang w:val="en-GB"/>
              </w:rPr>
              <w:t>Wibig</w:t>
            </w:r>
            <w:proofErr w:type="spellEnd"/>
            <w:r w:rsidRPr="00A454F6">
              <w:rPr>
                <w:szCs w:val="22"/>
                <w:lang w:val="en-US"/>
              </w:rPr>
              <w:t xml:space="preserve"> </w:t>
            </w:r>
          </w:p>
          <w:p w14:paraId="516A4E41" w14:textId="77777777" w:rsidR="003C6DA3" w:rsidRPr="00A454F6" w:rsidRDefault="003C6DA3" w:rsidP="00757119">
            <w:pPr>
              <w:tabs>
                <w:tab w:val="left" w:pos="284"/>
              </w:tabs>
              <w:spacing w:after="0"/>
              <w:ind w:left="284" w:hanging="284"/>
              <w:rPr>
                <w:rFonts w:cstheme="minorHAnsi"/>
                <w:bCs/>
                <w:iCs/>
                <w:szCs w:val="22"/>
                <w:lang w:val="en-GB"/>
              </w:rPr>
            </w:pPr>
            <w:r w:rsidRPr="00A454F6">
              <w:rPr>
                <w:szCs w:val="22"/>
                <w:lang w:val="en-US"/>
              </w:rPr>
              <w:tab/>
              <w:t xml:space="preserve">Conference Proceeding Book, </w:t>
            </w:r>
            <w:r w:rsidRPr="00A454F6">
              <w:rPr>
                <w:rFonts w:cstheme="minorHAnsi"/>
                <w:szCs w:val="22"/>
                <w:lang w:val="en-US"/>
              </w:rPr>
              <w:t xml:space="preserve">Redakcja: </w:t>
            </w:r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 xml:space="preserve">prof. </w:t>
            </w:r>
            <w:proofErr w:type="spellStart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>dr</w:t>
            </w:r>
            <w:proofErr w:type="spellEnd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 xml:space="preserve"> Osman </w:t>
            </w:r>
            <w:proofErr w:type="spellStart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>Titrek</w:t>
            </w:r>
            <w:proofErr w:type="spellEnd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 xml:space="preserve"> (Sakarya University), </w:t>
            </w:r>
            <w:proofErr w:type="spellStart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>dr</w:t>
            </w:r>
            <w:proofErr w:type="spellEnd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 xml:space="preserve"> Agnieszka </w:t>
            </w:r>
            <w:proofErr w:type="spellStart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>Zembrzuska</w:t>
            </w:r>
            <w:proofErr w:type="spellEnd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 xml:space="preserve"> (</w:t>
            </w:r>
            <w:proofErr w:type="spellStart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>Dolnośląska</w:t>
            </w:r>
            <w:proofErr w:type="spellEnd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 xml:space="preserve"> </w:t>
            </w:r>
            <w:proofErr w:type="spellStart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>Szkoła</w:t>
            </w:r>
            <w:proofErr w:type="spellEnd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 xml:space="preserve"> </w:t>
            </w:r>
            <w:proofErr w:type="spellStart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>Wyższa</w:t>
            </w:r>
            <w:proofErr w:type="spellEnd"/>
            <w:r w:rsidRPr="00A454F6">
              <w:rPr>
                <w:rFonts w:cstheme="minorHAnsi"/>
                <w:bCs/>
                <w:iCs/>
                <w:szCs w:val="22"/>
                <w:lang w:val="en-US"/>
              </w:rPr>
              <w:t xml:space="preserve">), res. assist. </w:t>
            </w:r>
            <w:proofErr w:type="spellStart"/>
            <w:r w:rsidRPr="00A454F6">
              <w:rPr>
                <w:rFonts w:cstheme="minorHAnsi"/>
                <w:bCs/>
                <w:iCs/>
                <w:szCs w:val="22"/>
                <w:lang w:val="en-GB"/>
              </w:rPr>
              <w:t>Gozde</w:t>
            </w:r>
            <w:proofErr w:type="spellEnd"/>
            <w:r w:rsidRPr="00A454F6">
              <w:rPr>
                <w:rFonts w:cstheme="minorHAnsi"/>
                <w:bCs/>
                <w:iCs/>
                <w:szCs w:val="22"/>
                <w:lang w:val="en-GB"/>
              </w:rPr>
              <w:t xml:space="preserve"> Sezen-Gultekin (Sakarya University)</w:t>
            </w:r>
          </w:p>
          <w:p w14:paraId="652C5F6F" w14:textId="11A6ED66" w:rsidR="003C6DA3" w:rsidRPr="00A454F6" w:rsidRDefault="003C6DA3" w:rsidP="00757119">
            <w:pPr>
              <w:spacing w:after="0"/>
              <w:ind w:left="320" w:hanging="36"/>
              <w:rPr>
                <w:rFonts w:cstheme="minorHAnsi"/>
                <w:szCs w:val="22"/>
                <w:lang w:val="en-GB" w:eastAsia="ja-JP"/>
              </w:rPr>
            </w:pPr>
            <w:r w:rsidRPr="00A454F6">
              <w:rPr>
                <w:lang w:val="en-GB"/>
              </w:rPr>
              <w:t>Online Publication: 28th December, 592</w:t>
            </w:r>
            <w:r w:rsidRPr="00A454F6">
              <w:rPr>
                <w:rFonts w:cstheme="minorHAnsi"/>
                <w:szCs w:val="22"/>
                <w:lang w:val="en-GB"/>
              </w:rPr>
              <w:t>–601 (</w:t>
            </w:r>
            <w:r w:rsidRPr="00A454F6">
              <w:rPr>
                <w:lang w:val="en-GB"/>
              </w:rPr>
              <w:t>2018), (</w:t>
            </w:r>
            <w:r w:rsidR="00E62F49">
              <w:fldChar w:fldCharType="begin"/>
            </w:r>
            <w:r w:rsidR="00E62F49" w:rsidRPr="00E62F49">
              <w:rPr>
                <w:lang w:val="en-GB"/>
              </w:rPr>
              <w:instrText>HYPERLINK "https://www.iclel.com/iclel-18-publications" \t "_blank"</w:instrText>
            </w:r>
            <w:r w:rsidR="00E62F49">
              <w:fldChar w:fldCharType="separate"/>
            </w:r>
            <w:r w:rsidRPr="00A454F6">
              <w:rPr>
                <w:rFonts w:cs="Arial"/>
                <w:lang w:val="en-GB"/>
              </w:rPr>
              <w:t>https://www.iclel.com/iclel-18-publications</w:t>
            </w:r>
            <w:r w:rsidR="00E62F49">
              <w:rPr>
                <w:rFonts w:cs="Arial"/>
                <w:lang w:val="en-GB"/>
              </w:rPr>
              <w:fldChar w:fldCharType="end"/>
            </w:r>
            <w:r w:rsidRPr="00A454F6">
              <w:rPr>
                <w:rFonts w:cs="Arial"/>
                <w:lang w:val="en-GB"/>
              </w:rPr>
              <w:t>)</w:t>
            </w:r>
            <w:r w:rsidR="00757119">
              <w:rPr>
                <w:rFonts w:cs="Arial"/>
                <w:lang w:val="en-GB"/>
              </w:rPr>
              <w:t xml:space="preserve">; </w:t>
            </w:r>
            <w:r w:rsidRPr="00A454F6">
              <w:rPr>
                <w:lang w:val="en-GB"/>
              </w:rPr>
              <w:t xml:space="preserve">ICLEL Publication: ICLEL Conferences Sakarya University Faculty of Education, 54300 Sakarya TURKEY </w:t>
            </w:r>
            <w:r w:rsidRPr="00A454F6">
              <w:rPr>
                <w:rFonts w:cstheme="minorHAnsi"/>
                <w:bCs/>
                <w:iCs/>
                <w:szCs w:val="22"/>
                <w:lang w:val="en-GB"/>
              </w:rPr>
              <w:t xml:space="preserve">ISBN: </w:t>
            </w:r>
            <w:r w:rsidRPr="00A454F6">
              <w:rPr>
                <w:bCs/>
                <w:szCs w:val="36"/>
                <w:lang w:val="en-GB"/>
              </w:rPr>
              <w:t>978-605-66495-3-0</w:t>
            </w:r>
          </w:p>
          <w:p w14:paraId="1331B718" w14:textId="6B99EAE0" w:rsidR="003C6DA3" w:rsidRPr="009E27EE" w:rsidRDefault="003C6DA3" w:rsidP="0071115A">
            <w:pPr>
              <w:tabs>
                <w:tab w:val="left" w:pos="284"/>
              </w:tabs>
              <w:spacing w:after="0"/>
              <w:ind w:left="284" w:hanging="284"/>
              <w:rPr>
                <w:szCs w:val="22"/>
                <w:lang w:val="en-GB"/>
              </w:rPr>
            </w:pPr>
            <w:r w:rsidRPr="00A454F6">
              <w:rPr>
                <w:szCs w:val="22"/>
                <w:lang w:val="en-GB"/>
              </w:rPr>
              <w:t>–</w:t>
            </w:r>
            <w:r w:rsidRPr="00A454F6">
              <w:rPr>
                <w:szCs w:val="22"/>
                <w:lang w:val="en-GB"/>
              </w:rPr>
              <w:tab/>
            </w:r>
            <w:r w:rsidRPr="00A454F6">
              <w:rPr>
                <w:caps/>
                <w:szCs w:val="22"/>
                <w:lang w:val="en-GB"/>
              </w:rPr>
              <w:t xml:space="preserve">Observation of the Effect of Gender on Children’s Concept of Motion; Sustainability Issue, </w:t>
            </w:r>
            <w:proofErr w:type="spellStart"/>
            <w:r w:rsidRPr="009E27EE">
              <w:rPr>
                <w:lang w:val="en-GB"/>
              </w:rPr>
              <w:t>Punsiri</w:t>
            </w:r>
            <w:proofErr w:type="spellEnd"/>
            <w:r w:rsidRPr="009E27EE">
              <w:rPr>
                <w:lang w:val="en-GB"/>
              </w:rPr>
              <w:t xml:space="preserve"> Dam-o, Joanna Gondek, Michał Karbowiak and Tadeusz </w:t>
            </w:r>
            <w:proofErr w:type="spellStart"/>
            <w:r w:rsidRPr="009E27EE">
              <w:rPr>
                <w:lang w:val="en-GB"/>
              </w:rPr>
              <w:t>Wibig</w:t>
            </w:r>
            <w:proofErr w:type="spellEnd"/>
            <w:r w:rsidR="009E27EE" w:rsidRPr="009E27EE">
              <w:rPr>
                <w:lang w:val="en-GB"/>
              </w:rPr>
              <w:t xml:space="preserve"> </w:t>
            </w:r>
            <w:r w:rsidRPr="009E27EE">
              <w:rPr>
                <w:i/>
                <w:iCs/>
                <w:szCs w:val="22"/>
                <w:lang w:val="en-GB"/>
              </w:rPr>
              <w:t>Sustainability</w:t>
            </w:r>
            <w:r w:rsidRPr="009E27EE">
              <w:rPr>
                <w:szCs w:val="22"/>
                <w:lang w:val="en-GB"/>
              </w:rPr>
              <w:t xml:space="preserve">, </w:t>
            </w:r>
            <w:r w:rsidRPr="009E27EE">
              <w:rPr>
                <w:b/>
                <w:iCs/>
                <w:szCs w:val="22"/>
                <w:lang w:val="en-GB"/>
              </w:rPr>
              <w:t>10</w:t>
            </w:r>
            <w:r w:rsidRPr="009E27EE">
              <w:rPr>
                <w:szCs w:val="22"/>
                <w:lang w:val="en-GB"/>
              </w:rPr>
              <w:t xml:space="preserve">(9), 3076 (2018); </w:t>
            </w:r>
            <w:proofErr w:type="spellStart"/>
            <w:r w:rsidRPr="009E27EE">
              <w:rPr>
                <w:szCs w:val="22"/>
                <w:lang w:val="en-GB"/>
              </w:rPr>
              <w:t>doi</w:t>
            </w:r>
            <w:proofErr w:type="spellEnd"/>
            <w:r w:rsidRPr="009E27EE">
              <w:rPr>
                <w:szCs w:val="22"/>
                <w:lang w:val="en-GB"/>
              </w:rPr>
              <w:t>: 10.3390/su10093076</w:t>
            </w:r>
          </w:p>
          <w:p w14:paraId="7549C4CB" w14:textId="77777777" w:rsidR="003C6DA3" w:rsidRPr="00A454F6" w:rsidRDefault="003C6DA3" w:rsidP="0071115A">
            <w:pPr>
              <w:tabs>
                <w:tab w:val="left" w:pos="284"/>
              </w:tabs>
              <w:spacing w:after="0"/>
              <w:ind w:left="284" w:hanging="284"/>
              <w:rPr>
                <w:szCs w:val="22"/>
              </w:rPr>
            </w:pPr>
            <w:r w:rsidRPr="00A454F6">
              <w:rPr>
                <w:szCs w:val="22"/>
              </w:rPr>
              <w:t>–</w:t>
            </w:r>
            <w:r w:rsidRPr="00A454F6">
              <w:rPr>
                <w:szCs w:val="22"/>
              </w:rPr>
              <w:tab/>
              <w:t>F</w:t>
            </w:r>
            <w:r w:rsidRPr="00A454F6">
              <w:rPr>
                <w:caps/>
                <w:szCs w:val="22"/>
              </w:rPr>
              <w:t>izyka „szkołą naukowego myślenia, naukowego krytycyzmu i skromności…”?</w:t>
            </w:r>
          </w:p>
          <w:p w14:paraId="6A05A809" w14:textId="144C4378" w:rsidR="0000547B" w:rsidRPr="00B857CE" w:rsidRDefault="003C6DA3" w:rsidP="0071115A">
            <w:pPr>
              <w:tabs>
                <w:tab w:val="left" w:pos="284"/>
              </w:tabs>
              <w:spacing w:after="0"/>
              <w:ind w:left="284" w:hanging="284"/>
            </w:pPr>
            <w:r w:rsidRPr="00A454F6">
              <w:rPr>
                <w:szCs w:val="22"/>
              </w:rPr>
              <w:tab/>
              <w:t xml:space="preserve">W </w:t>
            </w:r>
            <w:r w:rsidRPr="00A454F6">
              <w:rPr>
                <w:i/>
                <w:szCs w:val="22"/>
              </w:rPr>
              <w:t>44. Zjazd Fizyków Polskich, 10–15 IX 2017 Wrocław. Streszczenia</w:t>
            </w:r>
            <w:r w:rsidRPr="00A454F6">
              <w:rPr>
                <w:szCs w:val="22"/>
              </w:rPr>
              <w:t xml:space="preserve"> (P.26, s. 196), Oficyna Wydawnicza Politechniki Wrocławskiej, Wrocław 2017, ISBN 978-83-7493-990-4</w:t>
            </w:r>
          </w:p>
        </w:tc>
      </w:tr>
      <w:tr w:rsidR="00961C16" w:rsidRPr="00B857CE" w14:paraId="23D873F5" w14:textId="77777777" w:rsidTr="00C70DC0">
        <w:tc>
          <w:tcPr>
            <w:tcW w:w="9191" w:type="dxa"/>
            <w:gridSpan w:val="2"/>
          </w:tcPr>
          <w:p w14:paraId="7C0A3C60" w14:textId="38A58C9B" w:rsidR="00961C16" w:rsidRPr="00B857CE" w:rsidRDefault="00961C16" w:rsidP="00F059FD">
            <w:pPr>
              <w:spacing w:after="0"/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</w:t>
            </w:r>
            <w:r w:rsidR="007D2849"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 w:rsidR="007D2849">
              <w:rPr>
                <w:color w:val="233D81"/>
              </w:rPr>
              <w:t xml:space="preserve"> 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00C70DC0">
        <w:trPr>
          <w:trHeight w:val="509"/>
        </w:trPr>
        <w:tc>
          <w:tcPr>
            <w:tcW w:w="9191" w:type="dxa"/>
            <w:gridSpan w:val="2"/>
          </w:tcPr>
          <w:p w14:paraId="52B0B34E" w14:textId="77777777" w:rsidR="00750E77" w:rsidRDefault="00750E77" w:rsidP="00D11DD9">
            <w:pPr>
              <w:spacing w:after="0" w:line="276" w:lineRule="auto"/>
              <w:ind w:left="318" w:hanging="318"/>
            </w:pPr>
            <w:r w:rsidRPr="00CB5EE7">
              <w:rPr>
                <w:rFonts w:cs="Arial"/>
              </w:rPr>
              <w:t>–</w:t>
            </w:r>
            <w:r w:rsidRPr="00CB5EE7">
              <w:rPr>
                <w:rFonts w:cs="Arial"/>
              </w:rPr>
              <w:tab/>
            </w:r>
            <w:r w:rsidRPr="00CB5EE7">
              <w:rPr>
                <w:bCs/>
                <w:i/>
                <w:iCs/>
                <w:color w:val="000000"/>
              </w:rPr>
              <w:t>Program rozwiązań dydaktycznych ułatwiających studentom I roku wdrożenie się w studiowanie na kierunkach Fizyka, Fizyka Medyczna, Bezpieczeństwo Jądrowe i Ochrona Radiologiczna</w:t>
            </w:r>
            <w:r w:rsidRPr="00CB5EE7">
              <w:t>; grant z Funduszu Innowacji Dydaktycznych Uniwersytety Gdańskiego (FID UG 500/5200-S650-17; 2017-2019 r.)</w:t>
            </w:r>
          </w:p>
          <w:p w14:paraId="01BF4538" w14:textId="3386BA95" w:rsidR="00373568" w:rsidRPr="004E06D8" w:rsidRDefault="00373568" w:rsidP="00D11DD9">
            <w:pPr>
              <w:spacing w:after="0" w:line="276" w:lineRule="auto"/>
              <w:ind w:left="318" w:hanging="318"/>
            </w:pPr>
            <w:r w:rsidRPr="004E06D8">
              <w:lastRenderedPageBreak/>
              <w:t>–</w:t>
            </w:r>
            <w:r w:rsidRPr="004E06D8">
              <w:tab/>
              <w:t>prowadzenie zajęć (wykładów, ćwiczeń audytoryjnych, pracowni fizycznych) na kierunkach Fizyka, Fizyka Medyczna, Bezpieczeństwo Jądrowe i Ochrona Radiologiczna w oparciu o własne materiały merytoryczne i własnymi metodami dydaktycznymi wymuszającymi zaangażowanie studentów w</w:t>
            </w:r>
            <w:r w:rsidR="00315B52">
              <w:t> </w:t>
            </w:r>
            <w:r w:rsidRPr="004E06D8">
              <w:t>przebieg zajęć niezależnie od typu zajęć</w:t>
            </w:r>
          </w:p>
          <w:p w14:paraId="21CF3842" w14:textId="4470DAD5" w:rsidR="00373568" w:rsidRPr="004E06D8" w:rsidRDefault="00373568" w:rsidP="00D11DD9">
            <w:pPr>
              <w:spacing w:after="0" w:line="276" w:lineRule="auto"/>
              <w:ind w:left="318" w:hanging="318"/>
            </w:pPr>
            <w:r w:rsidRPr="004E06D8">
              <w:t>–</w:t>
            </w:r>
            <w:r w:rsidRPr="004E06D8">
              <w:tab/>
              <w:t xml:space="preserve">przygotowanie i prowadzenie </w:t>
            </w:r>
            <w:r>
              <w:t xml:space="preserve">autorskich </w:t>
            </w:r>
            <w:r w:rsidRPr="004E06D8">
              <w:t xml:space="preserve">innowacyjnych zajęć </w:t>
            </w:r>
            <w:r w:rsidRPr="004E06D8">
              <w:rPr>
                <w:i/>
              </w:rPr>
              <w:t>Wstęp do fizyki z elementami matematyki wyższej</w:t>
            </w:r>
            <w:r w:rsidRPr="004E06D8">
              <w:t xml:space="preserve"> dla studentów pierwszego roku Fizyki, Fizyki Medycznej, Bezpieczeństwa Jądrowego i Ochrony Radiologicznej; z</w:t>
            </w:r>
            <w:r w:rsidRPr="004E06D8">
              <w:rPr>
                <w:rFonts w:eastAsia="Calibri" w:cstheme="minorHAnsi"/>
                <w:color w:val="000000"/>
              </w:rPr>
              <w:t>ajęcia prowadzone bez podziału na część wykładową i</w:t>
            </w:r>
            <w:r>
              <w:rPr>
                <w:rFonts w:eastAsia="Calibri" w:cstheme="minorHAnsi"/>
                <w:color w:val="000000"/>
              </w:rPr>
              <w:t> </w:t>
            </w:r>
            <w:r w:rsidRPr="004E06D8">
              <w:rPr>
                <w:rFonts w:eastAsia="Calibri" w:cstheme="minorHAnsi"/>
                <w:color w:val="000000"/>
              </w:rPr>
              <w:t>ćwiczeniową. Po pilotażowych zajęciach zrealizowanych w ramach Funduszu Innowacji Dydaktycznych i</w:t>
            </w:r>
            <w:r w:rsidR="00315B52">
              <w:rPr>
                <w:rFonts w:eastAsia="Calibri" w:cstheme="minorHAnsi"/>
                <w:color w:val="000000"/>
              </w:rPr>
              <w:t> </w:t>
            </w:r>
            <w:r w:rsidRPr="004E06D8">
              <w:rPr>
                <w:rFonts w:eastAsia="Calibri" w:cstheme="minorHAnsi"/>
                <w:color w:val="000000"/>
              </w:rPr>
              <w:t xml:space="preserve">pozytywnych opiniach studentów </w:t>
            </w:r>
            <w:r>
              <w:rPr>
                <w:rFonts w:eastAsia="Calibri" w:cstheme="minorHAnsi"/>
                <w:color w:val="000000"/>
              </w:rPr>
              <w:t xml:space="preserve">o nich, </w:t>
            </w:r>
            <w:r w:rsidRPr="004E06D8">
              <w:rPr>
                <w:rFonts w:eastAsia="Calibri" w:cstheme="minorHAnsi"/>
                <w:color w:val="000000"/>
              </w:rPr>
              <w:t>przedmiot został wprowadzony do programów studiów kierunków: Fizyka, Fizyka Medyczna, Bezpieczeństwo Jądrowe i Ochrona Radiologiczna</w:t>
            </w:r>
          </w:p>
          <w:p w14:paraId="25ADF753" w14:textId="1EF39E93" w:rsidR="00373568" w:rsidRPr="004E06D8" w:rsidRDefault="00373568" w:rsidP="00D11DD9">
            <w:pPr>
              <w:spacing w:after="0" w:line="276" w:lineRule="auto"/>
              <w:ind w:left="318" w:hanging="318"/>
            </w:pPr>
            <w:r w:rsidRPr="004E06D8">
              <w:t>–</w:t>
            </w:r>
            <w:r w:rsidRPr="004E06D8">
              <w:tab/>
            </w:r>
            <w:r>
              <w:t>przygotowanie</w:t>
            </w:r>
            <w:r w:rsidRPr="004E06D8">
              <w:t xml:space="preserve"> skryptu </w:t>
            </w:r>
            <w:r w:rsidRPr="004E06D8">
              <w:rPr>
                <w:i/>
              </w:rPr>
              <w:t>Mechanika</w:t>
            </w:r>
            <w:r w:rsidRPr="004E06D8">
              <w:t xml:space="preserve">, z którego korzystają nie tylko studenci kierunków </w:t>
            </w:r>
            <w:r w:rsidRPr="004E06D8">
              <w:rPr>
                <w:rFonts w:eastAsia="Calibri" w:cstheme="minorHAnsi"/>
                <w:color w:val="000000"/>
              </w:rPr>
              <w:t>Fizyka, Fizyka Medyczna, Bezpieczeństwo Jądrowe i Ochrona Radiologiczna</w:t>
            </w:r>
            <w:r w:rsidRPr="004E06D8">
              <w:t xml:space="preserve">, ale także młodzi nauczyciele akademiccy (zapoczątkowany w ramach grantu z Funduszu Innowacji Dydaktycznych Uniwersytety Gdańskiego FID UG </w:t>
            </w:r>
            <w:r w:rsidRPr="004E06D8">
              <w:rPr>
                <w:rFonts w:cs="Arial"/>
              </w:rPr>
              <w:t>500-5211-S650-12-R4; 2012/2013)</w:t>
            </w:r>
          </w:p>
          <w:p w14:paraId="41C8F396" w14:textId="031727C7" w:rsidR="00961C16" w:rsidRPr="00B857CE" w:rsidRDefault="00373568" w:rsidP="00962BAC">
            <w:pPr>
              <w:spacing w:after="0" w:line="276" w:lineRule="auto"/>
              <w:ind w:left="318" w:hanging="318"/>
            </w:pPr>
            <w:r w:rsidRPr="004E06D8">
              <w:t>–</w:t>
            </w:r>
            <w:r w:rsidRPr="004E06D8">
              <w:tab/>
              <w:t xml:space="preserve">współautorstwo skryptu </w:t>
            </w:r>
            <w:r w:rsidRPr="004E06D8">
              <w:rPr>
                <w:i/>
              </w:rPr>
              <w:t xml:space="preserve">Matematyka </w:t>
            </w:r>
            <w:r>
              <w:rPr>
                <w:iCs/>
              </w:rPr>
              <w:t xml:space="preserve">dla studentów pierwszych lat kierunków prowadzonych przez Instytut Fizyki Doświadczalnej </w:t>
            </w:r>
            <w:r w:rsidRPr="004E06D8">
              <w:t>(w ramach grantu z Funduszu Innowacji Dydaktycznych Uniwersytety Gdańskiego FID UG 500/5200-S650-17; 2017-2019 r.)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547B"/>
    <w:rsid w:val="000842AC"/>
    <w:rsid w:val="000F1EF9"/>
    <w:rsid w:val="001E3DC3"/>
    <w:rsid w:val="001E79E2"/>
    <w:rsid w:val="002233F3"/>
    <w:rsid w:val="002F7E4F"/>
    <w:rsid w:val="00315B52"/>
    <w:rsid w:val="00340658"/>
    <w:rsid w:val="003465E3"/>
    <w:rsid w:val="00373568"/>
    <w:rsid w:val="003A47A1"/>
    <w:rsid w:val="003C6DA3"/>
    <w:rsid w:val="003D24CB"/>
    <w:rsid w:val="003D541B"/>
    <w:rsid w:val="00476D1A"/>
    <w:rsid w:val="004E37F2"/>
    <w:rsid w:val="004F3B9F"/>
    <w:rsid w:val="004F5937"/>
    <w:rsid w:val="005018F3"/>
    <w:rsid w:val="00515D8A"/>
    <w:rsid w:val="005533BD"/>
    <w:rsid w:val="00571A26"/>
    <w:rsid w:val="005926B5"/>
    <w:rsid w:val="005C51C5"/>
    <w:rsid w:val="006104DC"/>
    <w:rsid w:val="006835B2"/>
    <w:rsid w:val="00696F5F"/>
    <w:rsid w:val="006D1D57"/>
    <w:rsid w:val="0071115A"/>
    <w:rsid w:val="00750E77"/>
    <w:rsid w:val="00757119"/>
    <w:rsid w:val="00793DDC"/>
    <w:rsid w:val="007A75D6"/>
    <w:rsid w:val="007C3344"/>
    <w:rsid w:val="007D2849"/>
    <w:rsid w:val="00813B26"/>
    <w:rsid w:val="00815720"/>
    <w:rsid w:val="008C5EEA"/>
    <w:rsid w:val="009051C2"/>
    <w:rsid w:val="009326C8"/>
    <w:rsid w:val="00940ECF"/>
    <w:rsid w:val="009519B5"/>
    <w:rsid w:val="00961C16"/>
    <w:rsid w:val="00962BAC"/>
    <w:rsid w:val="009D1A6C"/>
    <w:rsid w:val="009E124B"/>
    <w:rsid w:val="009E27EE"/>
    <w:rsid w:val="00A04990"/>
    <w:rsid w:val="00A57937"/>
    <w:rsid w:val="00AA62B1"/>
    <w:rsid w:val="00AB6DE2"/>
    <w:rsid w:val="00B02E71"/>
    <w:rsid w:val="00B47D02"/>
    <w:rsid w:val="00B66305"/>
    <w:rsid w:val="00B706B2"/>
    <w:rsid w:val="00BA445D"/>
    <w:rsid w:val="00BA6B4E"/>
    <w:rsid w:val="00C506E9"/>
    <w:rsid w:val="00C70DC0"/>
    <w:rsid w:val="00C87171"/>
    <w:rsid w:val="00C96123"/>
    <w:rsid w:val="00D11DD9"/>
    <w:rsid w:val="00D20545"/>
    <w:rsid w:val="00DF2716"/>
    <w:rsid w:val="00E51F78"/>
    <w:rsid w:val="00E567DE"/>
    <w:rsid w:val="00E62F49"/>
    <w:rsid w:val="00E90AEE"/>
    <w:rsid w:val="00EA74C5"/>
    <w:rsid w:val="00EE1B65"/>
    <w:rsid w:val="00F059FD"/>
    <w:rsid w:val="00F676D4"/>
    <w:rsid w:val="00FC2F30"/>
    <w:rsid w:val="00FC4A41"/>
    <w:rsid w:val="00FD2C21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C6DA3"/>
    <w:rPr>
      <w:color w:val="0563C1" w:themeColor="hyperlink"/>
      <w:u w:val="single"/>
    </w:rPr>
  </w:style>
  <w:style w:type="character" w:customStyle="1" w:styleId="inlineblock">
    <w:name w:val="inlineblock"/>
    <w:basedOn w:val="Domylnaczcionkaakapitu"/>
    <w:rsid w:val="003C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A857EDC9-21AD-4D05-AC59-C59317CB73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2024-02-15T10:24:00Z</dcterms:created>
  <dcterms:modified xsi:type="dcterms:W3CDTF">2024-02-15T10:24:00Z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