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00164B28">
        <w:tc>
          <w:tcPr>
            <w:tcW w:w="1670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077" w:type="dxa"/>
            <w:tcBorders>
              <w:left w:val="nil"/>
            </w:tcBorders>
          </w:tcPr>
          <w:p w14:paraId="672A6659" w14:textId="689F15A9" w:rsidR="00961C16" w:rsidRPr="00B857CE" w:rsidRDefault="00164B28" w:rsidP="00BA16C2">
            <w:pPr>
              <w:rPr>
                <w:color w:val="000000"/>
              </w:rPr>
            </w:pPr>
            <w:r>
              <w:rPr>
                <w:color w:val="000000"/>
              </w:rPr>
              <w:t xml:space="preserve">Andrzej </w:t>
            </w:r>
            <w:proofErr w:type="spellStart"/>
            <w:r>
              <w:rPr>
                <w:color w:val="000000"/>
              </w:rPr>
              <w:t>Poszewiecki</w:t>
            </w:r>
            <w:proofErr w:type="spellEnd"/>
          </w:p>
        </w:tc>
      </w:tr>
      <w:tr w:rsidR="00961C16" w:rsidRPr="00B857CE" w14:paraId="161685AC" w14:textId="77777777" w:rsidTr="00164B28">
        <w:tc>
          <w:tcPr>
            <w:tcW w:w="8747" w:type="dxa"/>
            <w:gridSpan w:val="2"/>
          </w:tcPr>
          <w:p w14:paraId="3DF28EE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164B28" w:rsidRPr="00B857CE" w14:paraId="0A37501D" w14:textId="77777777" w:rsidTr="00164B28">
        <w:trPr>
          <w:trHeight w:val="563"/>
        </w:trPr>
        <w:tc>
          <w:tcPr>
            <w:tcW w:w="8747" w:type="dxa"/>
            <w:gridSpan w:val="2"/>
          </w:tcPr>
          <w:p w14:paraId="5DAB6C7B" w14:textId="5836BEDA" w:rsidR="00164B28" w:rsidRPr="00B857CE" w:rsidRDefault="00164B28" w:rsidP="00164B28">
            <w:r>
              <w:t>Doktor nauk ekonomicznych 2009 / magister ekonomii 2000</w:t>
            </w:r>
          </w:p>
        </w:tc>
      </w:tr>
      <w:tr w:rsidR="00164B28" w:rsidRPr="00B857CE" w14:paraId="46487713" w14:textId="77777777" w:rsidTr="00164B28">
        <w:trPr>
          <w:trHeight w:val="435"/>
        </w:trPr>
        <w:tc>
          <w:tcPr>
            <w:tcW w:w="8747" w:type="dxa"/>
            <w:gridSpan w:val="2"/>
            <w:vAlign w:val="center"/>
          </w:tcPr>
          <w:p w14:paraId="10926062" w14:textId="77777777" w:rsidR="00164B28" w:rsidRPr="00197A24" w:rsidRDefault="00164B28" w:rsidP="00164B28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164B28" w:rsidRPr="00B857CE" w14:paraId="76549F30" w14:textId="77777777" w:rsidTr="00164B28">
        <w:trPr>
          <w:trHeight w:val="563"/>
        </w:trPr>
        <w:tc>
          <w:tcPr>
            <w:tcW w:w="8747" w:type="dxa"/>
            <w:gridSpan w:val="2"/>
          </w:tcPr>
          <w:p w14:paraId="6837B329" w14:textId="5491FAF1" w:rsidR="00164B28" w:rsidRDefault="00164B28" w:rsidP="00164B28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</w:p>
          <w:p w14:paraId="45D9BC72" w14:textId="77777777" w:rsidR="00C825AF" w:rsidRDefault="00164B28" w:rsidP="00164B28">
            <w:r>
              <w:t>rok</w:t>
            </w:r>
            <w:r w:rsidRPr="00FC301C">
              <w:t xml:space="preserve"> </w:t>
            </w:r>
            <w:proofErr w:type="spellStart"/>
            <w:r>
              <w:t>akad</w:t>
            </w:r>
            <w:proofErr w:type="spellEnd"/>
            <w:r>
              <w:t xml:space="preserve">. </w:t>
            </w:r>
            <w:r w:rsidRPr="00FC301C">
              <w:t>2022/2023</w:t>
            </w:r>
            <w:r w:rsidR="00E04C4B">
              <w:t xml:space="preserve">  </w:t>
            </w:r>
          </w:p>
          <w:p w14:paraId="5B35A997" w14:textId="77777777" w:rsidR="00C825AF" w:rsidRDefault="00E04C4B" w:rsidP="00164B28">
            <w:r>
              <w:t>Kreatywność biznesowe (ćwicz</w:t>
            </w:r>
            <w:r w:rsidR="00C825AF">
              <w:t>enia</w:t>
            </w:r>
            <w:r>
              <w:t xml:space="preserve"> – 30 god</w:t>
            </w:r>
            <w:r w:rsidR="00C825AF">
              <w:t>z.</w:t>
            </w:r>
            <w:r>
              <w:t xml:space="preserve">; 1 rok); </w:t>
            </w:r>
          </w:p>
          <w:p w14:paraId="4465C2E2" w14:textId="77777777" w:rsidR="00C825AF" w:rsidRDefault="00301F49" w:rsidP="00164B28">
            <w:r>
              <w:t xml:space="preserve">Zarządzenie ludźmi w małej firmie </w:t>
            </w:r>
            <w:r w:rsidR="00C825AF">
              <w:t xml:space="preserve">(wykład - </w:t>
            </w:r>
            <w:r>
              <w:t xml:space="preserve">15 godz., </w:t>
            </w:r>
            <w:r w:rsidR="00C825AF">
              <w:t xml:space="preserve">ćwiczenia - </w:t>
            </w:r>
            <w:r>
              <w:t xml:space="preserve">15 godz.; 3 rok) </w:t>
            </w:r>
            <w:r w:rsidR="003B64D1">
              <w:t xml:space="preserve">; </w:t>
            </w:r>
          </w:p>
          <w:p w14:paraId="1EABB41E" w14:textId="599DE261" w:rsidR="00E04C4B" w:rsidRDefault="003B64D1" w:rsidP="00164B28">
            <w:r>
              <w:t>Seminarium inżynierskie – Ekonomia (seminarium</w:t>
            </w:r>
            <w:r w:rsidR="00C825AF">
              <w:t xml:space="preserve"> - </w:t>
            </w:r>
            <w:r>
              <w:t xml:space="preserve">30 godz., 4 rok) </w:t>
            </w:r>
          </w:p>
          <w:p w14:paraId="028637E6" w14:textId="36E7B74E" w:rsidR="00164B28" w:rsidRPr="00C506E9" w:rsidRDefault="00164B28" w:rsidP="00164B28">
            <w:pPr>
              <w:rPr>
                <w:color w:val="002060"/>
              </w:rPr>
            </w:pPr>
            <w:r w:rsidRPr="00FC301C">
              <w:t>Lata 2019-2022</w:t>
            </w:r>
          </w:p>
          <w:p w14:paraId="2E9B6637" w14:textId="5F776B0C" w:rsidR="00E04C4B" w:rsidRPr="008B5737" w:rsidRDefault="00301F49" w:rsidP="00164B28">
            <w:pPr>
              <w:rPr>
                <w:color w:val="000000" w:themeColor="text1"/>
              </w:rPr>
            </w:pPr>
            <w:r w:rsidRPr="008B5737">
              <w:rPr>
                <w:color w:val="000000" w:themeColor="text1"/>
              </w:rPr>
              <w:t>Praktyka operacyjna małej firmy (</w:t>
            </w:r>
            <w:r w:rsidR="00C825AF" w:rsidRPr="008B5737">
              <w:rPr>
                <w:color w:val="000000" w:themeColor="text1"/>
              </w:rPr>
              <w:t xml:space="preserve">wykład - </w:t>
            </w:r>
            <w:r w:rsidRPr="008B5737">
              <w:rPr>
                <w:color w:val="000000" w:themeColor="text1"/>
              </w:rPr>
              <w:t xml:space="preserve">15 </w:t>
            </w:r>
            <w:r w:rsidR="00C825AF" w:rsidRPr="008B5737">
              <w:rPr>
                <w:color w:val="000000" w:themeColor="text1"/>
              </w:rPr>
              <w:t>godz.</w:t>
            </w:r>
            <w:r w:rsidRPr="008B5737">
              <w:rPr>
                <w:color w:val="000000" w:themeColor="text1"/>
              </w:rPr>
              <w:t xml:space="preserve">; 3 rok)  </w:t>
            </w:r>
          </w:p>
          <w:p w14:paraId="6919ABE1" w14:textId="30FDE20F" w:rsidR="00301F49" w:rsidRDefault="00301F49" w:rsidP="00164B28">
            <w:r>
              <w:t>Zarządzenie ludźmi w małej firmie (</w:t>
            </w:r>
            <w:r w:rsidR="00C825AF">
              <w:t xml:space="preserve">wykład - </w:t>
            </w:r>
            <w:r>
              <w:t>15 godz., 3 rok)</w:t>
            </w:r>
          </w:p>
          <w:p w14:paraId="43EF9E25" w14:textId="1902985B" w:rsidR="00164B28" w:rsidRPr="00F12370" w:rsidRDefault="004D12B8" w:rsidP="00164B28">
            <w:r>
              <w:t>Zarządzanie małą firmą (</w:t>
            </w:r>
            <w:proofErr w:type="spellStart"/>
            <w:r w:rsidR="00C825AF">
              <w:t>wyklad</w:t>
            </w:r>
            <w:proofErr w:type="spellEnd"/>
            <w:r w:rsidR="00C825AF">
              <w:t xml:space="preserve"> - </w:t>
            </w:r>
            <w:r>
              <w:t xml:space="preserve">15 </w:t>
            </w:r>
            <w:r w:rsidR="00C825AF">
              <w:t>godz.</w:t>
            </w:r>
            <w:r>
              <w:t>, 1</w:t>
            </w:r>
            <w:r w:rsidR="00C825AF">
              <w:t xml:space="preserve"> rok</w:t>
            </w:r>
            <w:r>
              <w:t xml:space="preserve">) </w:t>
            </w:r>
          </w:p>
        </w:tc>
      </w:tr>
      <w:tr w:rsidR="00164B28" w:rsidRPr="00B857CE" w14:paraId="7BFF0D8D" w14:textId="77777777" w:rsidTr="00164B28">
        <w:tc>
          <w:tcPr>
            <w:tcW w:w="8747" w:type="dxa"/>
            <w:gridSpan w:val="2"/>
          </w:tcPr>
          <w:p w14:paraId="44A4D314" w14:textId="77777777" w:rsidR="00164B28" w:rsidRPr="00B857CE" w:rsidRDefault="00164B28" w:rsidP="00164B28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164B28" w:rsidRPr="00F12370" w14:paraId="02EB378F" w14:textId="77777777" w:rsidTr="00164B28">
        <w:trPr>
          <w:trHeight w:val="500"/>
        </w:trPr>
        <w:tc>
          <w:tcPr>
            <w:tcW w:w="8747" w:type="dxa"/>
            <w:gridSpan w:val="2"/>
          </w:tcPr>
          <w:p w14:paraId="36E3DE13" w14:textId="77777777" w:rsidR="00164B28" w:rsidRDefault="00164B28" w:rsidP="00164B28">
            <w:r>
              <w:t xml:space="preserve">Dziedzina: nauki </w:t>
            </w:r>
            <w:proofErr w:type="spellStart"/>
            <w:r>
              <w:t>społęczne</w:t>
            </w:r>
            <w:proofErr w:type="spellEnd"/>
            <w:r>
              <w:t>, Dyscyplina; ekonomia i finanse; Tematyka badawcza: przedsiębiorczość, innowacyjność w rozwoju regionów oraz przedsiębiorstw, wycena dóbr niematerialnych, rozwój regionalny, ekonomia behawioralna</w:t>
            </w:r>
          </w:p>
          <w:p w14:paraId="5ECB4CE7" w14:textId="77777777" w:rsidR="00164B28" w:rsidRDefault="00164B28" w:rsidP="00164B28"/>
          <w:p w14:paraId="38521721" w14:textId="77777777" w:rsidR="00164B28" w:rsidRDefault="00164B28" w:rsidP="00164B28">
            <w:r>
              <w:t>Najważniejsze osiągnięcia:</w:t>
            </w:r>
          </w:p>
          <w:p w14:paraId="404E2554" w14:textId="77777777" w:rsidR="00164B28" w:rsidRDefault="00164B28" w:rsidP="00164B28">
            <w:r>
              <w:t xml:space="preserve">- badania dotyczące wyceny prywatności (grant NCN) </w:t>
            </w:r>
          </w:p>
          <w:p w14:paraId="5A545D24" w14:textId="1635EC57" w:rsidR="00164B28" w:rsidRDefault="00223FD3" w:rsidP="00164B28">
            <w:r>
              <w:t xml:space="preserve">- analiza </w:t>
            </w:r>
            <w:proofErr w:type="spellStart"/>
            <w:r>
              <w:t>zachowań</w:t>
            </w:r>
            <w:proofErr w:type="spellEnd"/>
            <w:r>
              <w:t xml:space="preserve"> </w:t>
            </w:r>
            <w:proofErr w:type="spellStart"/>
            <w:r>
              <w:t>ekomicznych</w:t>
            </w:r>
            <w:proofErr w:type="spellEnd"/>
            <w:r>
              <w:t xml:space="preserve"> młodzieży </w:t>
            </w:r>
          </w:p>
          <w:p w14:paraId="199C85B5" w14:textId="6F9328E4" w:rsidR="00223FD3" w:rsidRDefault="00223FD3" w:rsidP="00164B28">
            <w:r>
              <w:t>- badania z zakresu tworzenia nowych modeli biznesowych</w:t>
            </w:r>
          </w:p>
          <w:p w14:paraId="7F5C71B1" w14:textId="77777777" w:rsidR="00223FD3" w:rsidRDefault="00223FD3" w:rsidP="00164B28"/>
          <w:p w14:paraId="3F1B4656" w14:textId="169071E4" w:rsidR="00164B28" w:rsidRDefault="00164B28" w:rsidP="00164B28">
            <w:r>
              <w:t xml:space="preserve">Autor 114 publikacji znajdujących się w bazie </w:t>
            </w:r>
            <w:proofErr w:type="spellStart"/>
            <w:r>
              <w:t>Publish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Perish</w:t>
            </w:r>
            <w:proofErr w:type="spellEnd"/>
            <w:r w:rsidRPr="00BD524E">
              <w:t xml:space="preserve">, cytowanych </w:t>
            </w:r>
            <w:r>
              <w:t>123</w:t>
            </w:r>
            <w:r w:rsidRPr="00BD524E">
              <w:t xml:space="preserve"> razy</w:t>
            </w:r>
            <w:r>
              <w:t>,</w:t>
            </w:r>
            <w:r w:rsidRPr="00BD524E">
              <w:t xml:space="preserve"> indeks Hirscha według </w:t>
            </w:r>
            <w:proofErr w:type="spellStart"/>
            <w:r>
              <w:t>Publish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Perish</w:t>
            </w:r>
            <w:proofErr w:type="spellEnd"/>
            <w:r>
              <w:t xml:space="preserve"> 6</w:t>
            </w:r>
            <w:r w:rsidRPr="00BD524E">
              <w:t xml:space="preserve">. </w:t>
            </w:r>
            <w:r w:rsidR="00223FD3">
              <w:t xml:space="preserve"> </w:t>
            </w:r>
            <w:r w:rsidRPr="00BD524E">
              <w:t xml:space="preserve">Za wysoką jakość prowadzonych badań naukowych </w:t>
            </w:r>
            <w:r w:rsidR="00853C12">
              <w:t>5</w:t>
            </w:r>
            <w:r w:rsidRPr="00BD524E">
              <w:t>-</w:t>
            </w:r>
            <w:r>
              <w:t>k</w:t>
            </w:r>
            <w:r w:rsidRPr="00BD524E">
              <w:t>rotnie wyróżnion</w:t>
            </w:r>
            <w:r w:rsidR="00223FD3">
              <w:t>y</w:t>
            </w:r>
            <w:r w:rsidRPr="00BD524E">
              <w:t xml:space="preserve"> zespołową Nagrodą Rektora Uniwersytetu Gdańskiego</w:t>
            </w:r>
            <w:r w:rsidR="00853C12">
              <w:t xml:space="preserve"> (I </w:t>
            </w:r>
            <w:proofErr w:type="spellStart"/>
            <w:r w:rsidR="00853C12">
              <w:t>i</w:t>
            </w:r>
            <w:proofErr w:type="spellEnd"/>
            <w:r w:rsidR="00853C12">
              <w:t xml:space="preserve"> II stopnia). </w:t>
            </w:r>
          </w:p>
          <w:p w14:paraId="22E93DAB" w14:textId="77777777" w:rsidR="00223FD3" w:rsidRDefault="00223FD3" w:rsidP="00164B28"/>
          <w:p w14:paraId="14661BCC" w14:textId="77777777" w:rsidR="00164B28" w:rsidRPr="00F12370" w:rsidRDefault="00164B28" w:rsidP="00164B28">
            <w:pPr>
              <w:rPr>
                <w:lang w:val="en-US"/>
              </w:rPr>
            </w:pPr>
            <w:proofErr w:type="spellStart"/>
            <w:r w:rsidRPr="00F12370">
              <w:rPr>
                <w:b/>
                <w:lang w:val="en-US"/>
              </w:rPr>
              <w:t>Wybrane</w:t>
            </w:r>
            <w:proofErr w:type="spellEnd"/>
            <w:r w:rsidRPr="00F12370">
              <w:rPr>
                <w:b/>
                <w:lang w:val="en-US"/>
              </w:rPr>
              <w:t xml:space="preserve"> </w:t>
            </w:r>
            <w:proofErr w:type="spellStart"/>
            <w:r w:rsidRPr="00F12370">
              <w:rPr>
                <w:b/>
                <w:lang w:val="en-US"/>
              </w:rPr>
              <w:t>publikacje</w:t>
            </w:r>
            <w:proofErr w:type="spellEnd"/>
            <w:r w:rsidRPr="00F12370">
              <w:rPr>
                <w:b/>
                <w:lang w:val="en-US"/>
              </w:rPr>
              <w:t xml:space="preserve"> (2019-2023)</w:t>
            </w:r>
            <w:r w:rsidRPr="00F12370">
              <w:rPr>
                <w:lang w:val="en-US"/>
              </w:rPr>
              <w:t>:</w:t>
            </w:r>
          </w:p>
          <w:p w14:paraId="2FFF067C" w14:textId="77777777" w:rsidR="00BC4973" w:rsidRPr="00F12370" w:rsidRDefault="00BC4973" w:rsidP="00BC4973">
            <w:pPr>
              <w:spacing w:after="0"/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</w:pPr>
            <w:proofErr w:type="spellStart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>Poszewiecki</w:t>
            </w:r>
            <w:proofErr w:type="spellEnd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 xml:space="preserve"> A., </w:t>
            </w:r>
            <w:proofErr w:type="spellStart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>i</w:t>
            </w:r>
            <w:proofErr w:type="spellEnd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 xml:space="preserve"> </w:t>
            </w:r>
            <w:proofErr w:type="spellStart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>Czerepko</w:t>
            </w:r>
            <w:proofErr w:type="spellEnd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 xml:space="preserve"> J., </w:t>
            </w:r>
            <w:r w:rsidRPr="00F12370">
              <w:rPr>
                <w:rFonts w:asciiTheme="minorHAnsi" w:hAnsiTheme="minorHAnsi" w:cstheme="minorHAnsi"/>
                <w:i/>
                <w:iCs/>
                <w:color w:val="222222"/>
                <w:szCs w:val="22"/>
                <w:lang w:val="en-US"/>
              </w:rPr>
              <w:t xml:space="preserve">New trends in consumption in Poland as shown by the example of a </w:t>
            </w:r>
            <w:proofErr w:type="spellStart"/>
            <w:r w:rsidRPr="00F12370">
              <w:rPr>
                <w:rFonts w:asciiTheme="minorHAnsi" w:hAnsiTheme="minorHAnsi" w:cstheme="minorHAnsi"/>
                <w:i/>
                <w:iCs/>
                <w:color w:val="222222"/>
                <w:szCs w:val="22"/>
                <w:lang w:val="en-US"/>
              </w:rPr>
              <w:t>freeshop</w:t>
            </w:r>
            <w:proofErr w:type="spellEnd"/>
            <w:r w:rsidRPr="00F12370">
              <w:rPr>
                <w:rFonts w:asciiTheme="minorHAnsi" w:hAnsiTheme="minorHAnsi" w:cstheme="minorHAnsi"/>
                <w:i/>
                <w:iCs/>
                <w:color w:val="222222"/>
                <w:szCs w:val="22"/>
                <w:lang w:val="en-US"/>
              </w:rPr>
              <w:t xml:space="preserve"> concept</w:t>
            </w:r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>, „Sustainability”, 2022, t.14, s. 1–16.</w:t>
            </w:r>
          </w:p>
          <w:p w14:paraId="3D59D837" w14:textId="5B902102" w:rsidR="00BC4973" w:rsidRDefault="00BC4973" w:rsidP="00164B28">
            <w:proofErr w:type="spellStart"/>
            <w:r w:rsidRPr="00BC4973">
              <w:t>Poszewiecki</w:t>
            </w:r>
            <w:proofErr w:type="spellEnd"/>
            <w:r w:rsidRPr="00BC4973">
              <w:t xml:space="preserve"> A., </w:t>
            </w:r>
            <w:r w:rsidRPr="00BC4973">
              <w:rPr>
                <w:i/>
                <w:iCs/>
              </w:rPr>
              <w:t>Chiński patent - własność przemysłowa jako źródło rozwoju gospodarczego</w:t>
            </w:r>
            <w:r w:rsidRPr="00BC4973">
              <w:t>, [w:] Czas smoka: fenomen przemian chińskiej gospodarki: spojrzenie z zewnątrz, red. W. Bizon, 2020, Za Wielkim Murem. Szkice o Chinach, s. 111–134.</w:t>
            </w:r>
          </w:p>
          <w:p w14:paraId="2312A8B5" w14:textId="3E0133C7" w:rsidR="00BC4973" w:rsidRDefault="00BC4973" w:rsidP="00164B28">
            <w:proofErr w:type="spellStart"/>
            <w:r w:rsidRPr="00BC4973">
              <w:t>Poszewiecki</w:t>
            </w:r>
            <w:proofErr w:type="spellEnd"/>
            <w:r w:rsidRPr="00BC4973">
              <w:t xml:space="preserve"> A., </w:t>
            </w:r>
            <w:proofErr w:type="spellStart"/>
            <w:r w:rsidRPr="00BC4973">
              <w:rPr>
                <w:i/>
                <w:iCs/>
              </w:rPr>
              <w:t>Relationship</w:t>
            </w:r>
            <w:proofErr w:type="spellEnd"/>
            <w:r w:rsidRPr="00BC4973">
              <w:rPr>
                <w:i/>
                <w:iCs/>
              </w:rPr>
              <w:t xml:space="preserve"> </w:t>
            </w:r>
            <w:proofErr w:type="spellStart"/>
            <w:r w:rsidRPr="00BC4973">
              <w:rPr>
                <w:i/>
                <w:iCs/>
              </w:rPr>
              <w:t>between</w:t>
            </w:r>
            <w:proofErr w:type="spellEnd"/>
            <w:r w:rsidRPr="00BC4973">
              <w:rPr>
                <w:i/>
                <w:iCs/>
              </w:rPr>
              <w:t xml:space="preserve"> </w:t>
            </w:r>
            <w:proofErr w:type="spellStart"/>
            <w:r w:rsidRPr="00BC4973">
              <w:rPr>
                <w:i/>
                <w:iCs/>
              </w:rPr>
              <w:t>intellectual</w:t>
            </w:r>
            <w:proofErr w:type="spellEnd"/>
            <w:r w:rsidRPr="00BC4973">
              <w:rPr>
                <w:i/>
                <w:iCs/>
              </w:rPr>
              <w:t xml:space="preserve"> </w:t>
            </w:r>
            <w:proofErr w:type="spellStart"/>
            <w:r w:rsidRPr="00BC4973">
              <w:rPr>
                <w:i/>
                <w:iCs/>
              </w:rPr>
              <w:t>property</w:t>
            </w:r>
            <w:proofErr w:type="spellEnd"/>
            <w:r w:rsidRPr="00BC4973">
              <w:rPr>
                <w:i/>
                <w:iCs/>
              </w:rPr>
              <w:t xml:space="preserve"> and </w:t>
            </w:r>
            <w:proofErr w:type="spellStart"/>
            <w:r w:rsidRPr="00BC4973">
              <w:rPr>
                <w:i/>
                <w:iCs/>
              </w:rPr>
              <w:t>economic</w:t>
            </w:r>
            <w:proofErr w:type="spellEnd"/>
            <w:r w:rsidRPr="00BC4973">
              <w:rPr>
                <w:i/>
                <w:iCs/>
              </w:rPr>
              <w:t xml:space="preserve"> </w:t>
            </w:r>
            <w:proofErr w:type="spellStart"/>
            <w:r w:rsidRPr="00BC4973">
              <w:rPr>
                <w:i/>
                <w:iCs/>
              </w:rPr>
              <w:t>competitiveness</w:t>
            </w:r>
            <w:proofErr w:type="spellEnd"/>
            <w:r w:rsidRPr="00BC4973">
              <w:t>, „Zeszyty Naukowe / Akademia Morska w Szczecinie”, 2019, s. 217–224.</w:t>
            </w:r>
          </w:p>
          <w:p w14:paraId="6A05A809" w14:textId="3FB08CB7" w:rsidR="00BC4973" w:rsidRPr="00F12370" w:rsidRDefault="00BC4973" w:rsidP="00164B28">
            <w:pPr>
              <w:rPr>
                <w:lang w:val="en-US"/>
              </w:rPr>
            </w:pPr>
            <w:proofErr w:type="spellStart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>Kulawczuk</w:t>
            </w:r>
            <w:proofErr w:type="spellEnd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 xml:space="preserve"> P., </w:t>
            </w:r>
            <w:proofErr w:type="spellStart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>Poszewiecki</w:t>
            </w:r>
            <w:proofErr w:type="spellEnd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 xml:space="preserve"> A., </w:t>
            </w:r>
            <w:proofErr w:type="spellStart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>i</w:t>
            </w:r>
            <w:proofErr w:type="spellEnd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 xml:space="preserve"> </w:t>
            </w:r>
            <w:proofErr w:type="spellStart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>Szczęch</w:t>
            </w:r>
            <w:proofErr w:type="spellEnd"/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 xml:space="preserve"> A., </w:t>
            </w:r>
            <w:r w:rsidRPr="00F12370">
              <w:rPr>
                <w:rFonts w:asciiTheme="minorHAnsi" w:hAnsiTheme="minorHAnsi" w:cstheme="minorHAnsi"/>
                <w:i/>
                <w:iCs/>
                <w:color w:val="222222"/>
                <w:szCs w:val="22"/>
                <w:lang w:val="en-US"/>
              </w:rPr>
              <w:t>The needs of youth and spatial justice. How the inclusion of youth preferences can support targeted regional policies</w:t>
            </w:r>
            <w:r w:rsidRPr="00F12370">
              <w:rPr>
                <w:rFonts w:asciiTheme="minorHAnsi" w:hAnsiTheme="minorHAnsi" w:cstheme="minorHAnsi"/>
                <w:color w:val="222222"/>
                <w:szCs w:val="22"/>
                <w:lang w:val="en-US"/>
              </w:rPr>
              <w:t>, „Europa XXI”, 2019, t.37, s. 1–17.</w:t>
            </w:r>
          </w:p>
        </w:tc>
      </w:tr>
      <w:tr w:rsidR="00164B28" w:rsidRPr="00B857CE" w14:paraId="23D873F5" w14:textId="77777777" w:rsidTr="00164B28">
        <w:tc>
          <w:tcPr>
            <w:tcW w:w="8747" w:type="dxa"/>
            <w:gridSpan w:val="2"/>
          </w:tcPr>
          <w:p w14:paraId="7C0A3C60" w14:textId="77777777" w:rsidR="00164B28" w:rsidRPr="00B857CE" w:rsidRDefault="00164B28" w:rsidP="00164B28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164B28" w:rsidRPr="00B857CE" w14:paraId="5A39BBE3" w14:textId="77777777" w:rsidTr="00164B28">
        <w:trPr>
          <w:trHeight w:val="509"/>
        </w:trPr>
        <w:tc>
          <w:tcPr>
            <w:tcW w:w="8747" w:type="dxa"/>
            <w:gridSpan w:val="2"/>
          </w:tcPr>
          <w:p w14:paraId="07E0E026" w14:textId="77777777" w:rsidR="00164B28" w:rsidRDefault="00164B28" w:rsidP="00164B28">
            <w:pPr>
              <w:rPr>
                <w:u w:val="single"/>
              </w:rPr>
            </w:pPr>
            <w:r w:rsidRPr="00F34867">
              <w:rPr>
                <w:u w:val="single"/>
              </w:rPr>
              <w:t xml:space="preserve">Charakterystyka doświadczenia i dorobku dydaktycznego </w:t>
            </w:r>
          </w:p>
          <w:p w14:paraId="55D779AA" w14:textId="5593A94F" w:rsidR="00BC4973" w:rsidRDefault="00164B28" w:rsidP="00164B28">
            <w:r w:rsidRPr="00A5730F">
              <w:t xml:space="preserve">Doświadczenie dydaktyczne w ciągu </w:t>
            </w:r>
            <w:r w:rsidR="00BC4973">
              <w:t>22</w:t>
            </w:r>
            <w:r w:rsidRPr="00A5730F">
              <w:t xml:space="preserve"> lat pracy na Uniwersytecie </w:t>
            </w:r>
            <w:r>
              <w:t>Gdańskim</w:t>
            </w:r>
            <w:r w:rsidRPr="00A5730F">
              <w:t xml:space="preserve"> obejmuje prowadzenie różnych typów zajęć (wykłady, </w:t>
            </w:r>
            <w:r>
              <w:t>seminaria, ćwiczenia</w:t>
            </w:r>
            <w:r w:rsidRPr="00A5730F">
              <w:t>) z zakresu</w:t>
            </w:r>
            <w:r w:rsidR="00D31ED9">
              <w:t xml:space="preserve"> m.in.</w:t>
            </w:r>
            <w:r w:rsidR="00401CBB">
              <w:t xml:space="preserve"> makroekonomii, mikroekonomii, własności intelektualnej, zarządzania, marketingu, public relations, </w:t>
            </w:r>
            <w:proofErr w:type="spellStart"/>
            <w:r w:rsidR="00401CBB">
              <w:t>political</w:t>
            </w:r>
            <w:proofErr w:type="spellEnd"/>
            <w:r w:rsidR="00401CBB">
              <w:t xml:space="preserve"> marketing, </w:t>
            </w:r>
            <w:r w:rsidR="00D31ED9">
              <w:t>kreatywności biznesowej, p</w:t>
            </w:r>
            <w:r w:rsidR="00D31ED9" w:rsidRPr="00D31ED9">
              <w:t xml:space="preserve">harmaceutical </w:t>
            </w:r>
            <w:r w:rsidR="00D31ED9">
              <w:t>b</w:t>
            </w:r>
            <w:r w:rsidR="00D31ED9" w:rsidRPr="00D31ED9">
              <w:t xml:space="preserve">usiness </w:t>
            </w:r>
            <w:r w:rsidR="00D31ED9">
              <w:t>m</w:t>
            </w:r>
            <w:r w:rsidR="00D31ED9" w:rsidRPr="00D31ED9">
              <w:t>anagement</w:t>
            </w:r>
            <w:r w:rsidR="00D31ED9">
              <w:t xml:space="preserve">, marketingu interaktywnego. </w:t>
            </w:r>
          </w:p>
          <w:p w14:paraId="6BB58147" w14:textId="77777777" w:rsidR="00BC4973" w:rsidRDefault="00BC4973" w:rsidP="00164B28"/>
          <w:p w14:paraId="5903B77E" w14:textId="446B7592" w:rsidR="00164B28" w:rsidRPr="00A5730F" w:rsidRDefault="00164B28" w:rsidP="00164B28">
            <w:r>
              <w:t>Na doświadczenie dydaktyczne składa się także prowadzenie</w:t>
            </w:r>
            <w:r w:rsidRPr="00A5730F">
              <w:t xml:space="preserve"> </w:t>
            </w:r>
            <w:r>
              <w:t>bloku przedmiotów dyplomowych:</w:t>
            </w:r>
            <w:r w:rsidR="00BC4973">
              <w:t xml:space="preserve"> seminaria licencjackie, magisterskie i inżynierskie</w:t>
            </w:r>
            <w:r w:rsidRPr="00A5730F">
              <w:t xml:space="preserve">. Dorobek obejmuje </w:t>
            </w:r>
            <w:r>
              <w:t>ponadto</w:t>
            </w:r>
            <w:r w:rsidRPr="00A5730F">
              <w:t xml:space="preserve"> opiekę nad licznymi pracami licencjackimi</w:t>
            </w:r>
            <w:r>
              <w:t xml:space="preserve"> i</w:t>
            </w:r>
            <w:r w:rsidRPr="00A5730F">
              <w:t xml:space="preserve"> magisterskimi.</w:t>
            </w:r>
          </w:p>
          <w:p w14:paraId="42259190" w14:textId="77777777" w:rsidR="00BC4973" w:rsidRDefault="00BC4973" w:rsidP="00164B28">
            <w:pPr>
              <w:rPr>
                <w:u w:val="single"/>
              </w:rPr>
            </w:pPr>
          </w:p>
          <w:p w14:paraId="4482B7E0" w14:textId="61FEE5AE" w:rsidR="00D31ED9" w:rsidRPr="00D31ED9" w:rsidRDefault="00164B28" w:rsidP="00164B28">
            <w:pPr>
              <w:rPr>
                <w:u w:val="single"/>
              </w:rPr>
            </w:pPr>
            <w:r>
              <w:rPr>
                <w:u w:val="single"/>
              </w:rPr>
              <w:t xml:space="preserve">Najważniejsze osiągnięcia: </w:t>
            </w:r>
          </w:p>
          <w:p w14:paraId="50927672" w14:textId="064EC490" w:rsidR="00D31ED9" w:rsidRPr="00D31ED9" w:rsidRDefault="00D31ED9" w:rsidP="00D31ED9">
            <w:r>
              <w:t xml:space="preserve">- </w:t>
            </w:r>
            <w:r w:rsidR="00F211B3">
              <w:t>U</w:t>
            </w:r>
            <w:r>
              <w:t>dział w pracach</w:t>
            </w:r>
            <w:r w:rsidRPr="00D31ED9">
              <w:t xml:space="preserve"> w grupach inicjatywnych, które uruchomiły dwa nowe kierunki studiów i jedną specjalność w obrębie kierunku międzynarodowe stosunki gospodarcze. Były to: </w:t>
            </w:r>
          </w:p>
          <w:p w14:paraId="1DD6D499" w14:textId="77777777" w:rsidR="00D31ED9" w:rsidRPr="00D31ED9" w:rsidRDefault="00D31ED9" w:rsidP="00D31ED9">
            <w:r w:rsidRPr="00D31ED9">
              <w:t>a)</w:t>
            </w:r>
            <w:r w:rsidRPr="00D31ED9">
              <w:tab/>
              <w:t xml:space="preserve">Biznes i technologia ekologiczna – studia magisterskie prowadzone wspólnie przez Wydział Ekonomiczny i   Wydział Chemii, </w:t>
            </w:r>
          </w:p>
          <w:p w14:paraId="55A6BB9C" w14:textId="77777777" w:rsidR="00D31ED9" w:rsidRPr="00D31ED9" w:rsidRDefault="00D31ED9" w:rsidP="00D31ED9">
            <w:r w:rsidRPr="00D31ED9">
              <w:t>b)</w:t>
            </w:r>
            <w:r w:rsidRPr="00D31ED9">
              <w:tab/>
              <w:t>Biznes chemiczny – studia inżynierskie i studia magisterskie prowadzone wspólnie przez Wydział Chemii i Wydział Ekonomiczny,</w:t>
            </w:r>
          </w:p>
          <w:p w14:paraId="594D1C30" w14:textId="78783B31" w:rsidR="00D31ED9" w:rsidRDefault="00D31ED9" w:rsidP="00D31ED9">
            <w:r w:rsidRPr="00D31ED9">
              <w:t>c)</w:t>
            </w:r>
            <w:r w:rsidRPr="00D31ED9">
              <w:tab/>
              <w:t>Międzynarodowa Ekonomia Menedżerska – specjalność na studiach magisterskich międzynarodowych stosunków gospodarczych prowadzona wspólnie przez Katedrę Transportu i Handlu Morskiego i Katedrę Makroekonomii.</w:t>
            </w:r>
          </w:p>
          <w:p w14:paraId="207D4EC8" w14:textId="388DFDE0" w:rsidR="00D31F2A" w:rsidRDefault="00D31F2A" w:rsidP="00D31ED9">
            <w:r>
              <w:t xml:space="preserve">- </w:t>
            </w:r>
            <w:r w:rsidR="00F211B3">
              <w:t>W</w:t>
            </w:r>
            <w:r>
              <w:t>łączenie - jako jeden z pierwszych</w:t>
            </w:r>
            <w:r w:rsidRPr="00D31F2A">
              <w:t xml:space="preserve"> pracowników Wydziału </w:t>
            </w:r>
            <w:proofErr w:type="spellStart"/>
            <w:r w:rsidRPr="00D31F2A">
              <w:t>Ekonomiczego</w:t>
            </w:r>
            <w:proofErr w:type="spellEnd"/>
            <w:r w:rsidRPr="00D31F2A">
              <w:t>, w proces dydaktyczny e-learning</w:t>
            </w:r>
            <w:r>
              <w:t>u</w:t>
            </w:r>
            <w:r w:rsidRPr="00D31F2A">
              <w:t xml:space="preserve"> (zarówno w j. polskim i angielskim).  </w:t>
            </w:r>
          </w:p>
          <w:p w14:paraId="34FDAD3B" w14:textId="7F701BDA" w:rsidR="00D31ED9" w:rsidRDefault="00D31F2A" w:rsidP="00164B28">
            <w:r>
              <w:lastRenderedPageBreak/>
              <w:t xml:space="preserve">- </w:t>
            </w:r>
            <w:r w:rsidR="00F211B3">
              <w:t>W</w:t>
            </w:r>
            <w:r w:rsidRPr="00D31F2A">
              <w:t>prowadz</w:t>
            </w:r>
            <w:r>
              <w:t>enie</w:t>
            </w:r>
            <w:r w:rsidRPr="00D31F2A">
              <w:t xml:space="preserve"> do programów studiów </w:t>
            </w:r>
            <w:proofErr w:type="spellStart"/>
            <w:r w:rsidRPr="00D31F2A">
              <w:t>kilkana</w:t>
            </w:r>
            <w:r>
              <w:t>stu</w:t>
            </w:r>
            <w:proofErr w:type="spellEnd"/>
            <w:r w:rsidRPr="00D31F2A">
              <w:t xml:space="preserve"> nowych przedmiotów – głównie w zakresie przedmiotów do wyboru.</w:t>
            </w:r>
          </w:p>
          <w:p w14:paraId="06ED3BD5" w14:textId="65C5AE42" w:rsidR="00D31F2A" w:rsidRDefault="00D31F2A" w:rsidP="00D31F2A">
            <w:pPr>
              <w:rPr>
                <w:color w:val="000000"/>
              </w:rPr>
            </w:pPr>
            <w:r>
              <w:t xml:space="preserve">- </w:t>
            </w:r>
            <w:r w:rsidR="00F211B3">
              <w:t>W</w:t>
            </w:r>
            <w:r>
              <w:rPr>
                <w:color w:val="000000"/>
              </w:rPr>
              <w:t xml:space="preserve"> ramach inicjatywy Katedry Makroekonomii, w 2021 roku współpraca z Narodowym Bankiem Polskim i Telewizją Polską O/Gdańsk w zakresie przygotowania audycji telewizyjnych poświęconych popularyzacji historii polskiej myśli ekonomicznej związanych z wprowadzeniem do obrotu monet ze znanymi polskimi ekonomistami okresu międzywojennego. </w:t>
            </w:r>
          </w:p>
          <w:p w14:paraId="6D412228" w14:textId="595B5EB7" w:rsidR="00D31F2A" w:rsidRDefault="00D31F2A" w:rsidP="00D31F2A">
            <w:r>
              <w:t xml:space="preserve">- </w:t>
            </w:r>
            <w:r w:rsidR="00F211B3">
              <w:t>U</w:t>
            </w:r>
            <w:r>
              <w:t>dział w realizacji kilku projektów skierowanych na podniesienie jakości kształcenia na Uniwersytecie Gdańskim. W ramach projektu pt. „</w:t>
            </w:r>
            <w:proofErr w:type="spellStart"/>
            <w:r>
              <w:t>PROgram</w:t>
            </w:r>
            <w:proofErr w:type="spellEnd"/>
            <w:r>
              <w:t xml:space="preserve"> Rozwoju Uniwersytetu Gdańskiego (</w:t>
            </w:r>
            <w:proofErr w:type="spellStart"/>
            <w:r>
              <w:t>ProUG</w:t>
            </w:r>
            <w:proofErr w:type="spellEnd"/>
            <w:r>
              <w:t xml:space="preserve">)” - opracowanie autorskiego skryptu pt. „Kreatywność biznesowa” – dedykowany dla studentów kierunków Chemia oraz Ochrona środowiska (2021) oraz brał udział w tworzeniu programu przedmiotu „ABC przedsiębiorczości” (dla kierunków nieekonomicznych). </w:t>
            </w:r>
          </w:p>
          <w:p w14:paraId="76C84626" w14:textId="369F8527" w:rsidR="00D31F2A" w:rsidRDefault="00D31F2A" w:rsidP="00D31F2A">
            <w:r>
              <w:t xml:space="preserve">- </w:t>
            </w:r>
            <w:r w:rsidR="00F211B3">
              <w:t>W</w:t>
            </w:r>
            <w:r>
              <w:t xml:space="preserve"> projekcie pt. „Uniwersytet Jutra: Umiędzynarodowienie kształcenia w Uniwersytecie Gdańskim poprzez współpracę z Uniwersytetem Houston-</w:t>
            </w:r>
            <w:proofErr w:type="spellStart"/>
            <w:r>
              <w:t>Downtown</w:t>
            </w:r>
            <w:proofErr w:type="spellEnd"/>
            <w:r>
              <w:t>” pełnienie funkcji kierownika zadania odpowiedzialnego za przygotowanie kursu e-learningowego „</w:t>
            </w:r>
            <w:proofErr w:type="spellStart"/>
            <w:r>
              <w:t>Entrepreneurship</w:t>
            </w:r>
            <w:proofErr w:type="spellEnd"/>
            <w:r>
              <w:t xml:space="preserve"> and Business </w:t>
            </w:r>
            <w:proofErr w:type="spellStart"/>
            <w:r>
              <w:t>Success</w:t>
            </w:r>
            <w:proofErr w:type="spellEnd"/>
            <w:r>
              <w:t xml:space="preserve">”, który został włączony do oferty dydaktycznej Uniwersytetu Gdańskiego dla wszystkich wydziałów uczelni. </w:t>
            </w:r>
          </w:p>
          <w:p w14:paraId="2660B2B8" w14:textId="1BDC4815" w:rsidR="00D31F2A" w:rsidRDefault="00D31F2A" w:rsidP="00D31F2A">
            <w:r>
              <w:t xml:space="preserve">- </w:t>
            </w:r>
            <w:r w:rsidR="00F211B3">
              <w:t>W</w:t>
            </w:r>
            <w:r>
              <w:t xml:space="preserve"> ramach współpracy międzyuczelnianej uczestnik projektu realizowanego przez Wyższa Szkoła Zarządzania i Przedsiębiorczości im. L. Koźmińskiego w Warszawie „SEIPA – Sieć edukacyjnej przedsiębiorczości akademickiej” – projekt realizowany w partnerstwie z 10 instytucjami naukowo-badawczymi z kraju w ramach programu </w:t>
            </w:r>
            <w:proofErr w:type="spellStart"/>
            <w:r>
              <w:t>MNiSW</w:t>
            </w:r>
            <w:proofErr w:type="spellEnd"/>
            <w:r>
              <w:t xml:space="preserve"> Kreator innowacyjności, którego celem było wypracowanie i wdrożenie innowacyjnych rozwiązań skierowanych na budowanie przedsiębiorczości akademickiej.  </w:t>
            </w:r>
          </w:p>
          <w:p w14:paraId="2B87AED0" w14:textId="36349CEC" w:rsidR="00164B28" w:rsidRDefault="00164B28" w:rsidP="00164B28">
            <w:r>
              <w:t>- U</w:t>
            </w:r>
            <w:r w:rsidRPr="00335F7F">
              <w:t>czestni</w:t>
            </w:r>
            <w:r>
              <w:t>ctwo</w:t>
            </w:r>
            <w:r w:rsidRPr="00335F7F">
              <w:t xml:space="preserve"> w programach międzynarodowej wymiany kadry naukowej</w:t>
            </w:r>
            <w:r>
              <w:t xml:space="preserve"> (staż naukowy w </w:t>
            </w:r>
            <w:r w:rsidR="00D31F2A">
              <w:t>University Houston-</w:t>
            </w:r>
            <w:proofErr w:type="spellStart"/>
            <w:r w:rsidR="00D31F2A">
              <w:t>Downtwon</w:t>
            </w:r>
            <w:proofErr w:type="spellEnd"/>
            <w:r>
              <w:t>).</w:t>
            </w:r>
          </w:p>
          <w:p w14:paraId="41C8F396" w14:textId="0F4A3184" w:rsidR="00164B28" w:rsidRPr="00B857CE" w:rsidRDefault="00164B28" w:rsidP="00164B28">
            <w:r>
              <w:t xml:space="preserve">- Prezentacja </w:t>
            </w:r>
            <w:r w:rsidRPr="00335F7F">
              <w:t>wykład</w:t>
            </w:r>
            <w:r>
              <w:t>ów</w:t>
            </w:r>
            <w:r w:rsidRPr="00335F7F">
              <w:t>/referat</w:t>
            </w:r>
            <w:r>
              <w:t>ów</w:t>
            </w:r>
            <w:r w:rsidRPr="00335F7F">
              <w:t xml:space="preserve"> dla innych uczelni</w:t>
            </w:r>
            <w:r>
              <w:t>ach</w:t>
            </w:r>
            <w:r w:rsidRPr="00335F7F">
              <w:t xml:space="preserve"> / instytuc</w:t>
            </w:r>
            <w:r>
              <w:t>ji</w:t>
            </w:r>
            <w:r w:rsidRPr="00335F7F">
              <w:t xml:space="preserve"> naukowych / organizacji, nie tylko polskich, ale i zagranicznych. </w:t>
            </w:r>
          </w:p>
        </w:tc>
      </w:tr>
      <w:tr w:rsidR="00164B28" w:rsidRPr="00B857CE" w14:paraId="3DC18AE4" w14:textId="77777777" w:rsidTr="00164B28">
        <w:trPr>
          <w:trHeight w:val="509"/>
        </w:trPr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5F192682" w14:textId="0BE76CEF" w:rsidR="009276FB" w:rsidRDefault="009276FB" w:rsidP="00CA64AD">
            <w:r>
              <w:rPr>
                <w:color w:val="233D81"/>
              </w:rPr>
              <w:lastRenderedPageBreak/>
              <w:t xml:space="preserve">Opis </w:t>
            </w:r>
            <w:r w:rsidRPr="00FA0FEC">
              <w:rPr>
                <w:color w:val="233D81"/>
              </w:rPr>
              <w:t>doświadczenia zawodowego w powiązaniu z celami kształcenia, efektami uczenia się zakładanymi dla ocenianego kierunku oraz treściami programowymi (jeśli dotyczy).</w:t>
            </w:r>
          </w:p>
          <w:p w14:paraId="01C6AC02" w14:textId="48C739A3" w:rsidR="009276FB" w:rsidRPr="00164B28" w:rsidRDefault="009276FB" w:rsidP="00CA64AD"/>
        </w:tc>
      </w:tr>
      <w:tr w:rsidR="00164B28" w:rsidRPr="00B857CE" w14:paraId="48269F46" w14:textId="77777777" w:rsidTr="00164B28">
        <w:trPr>
          <w:trHeight w:val="509"/>
        </w:trPr>
        <w:tc>
          <w:tcPr>
            <w:tcW w:w="8747" w:type="dxa"/>
            <w:gridSpan w:val="2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44FA0F38" w14:textId="77777777" w:rsidR="00164B28" w:rsidRPr="00164B28" w:rsidRDefault="00164B28" w:rsidP="00CA64AD">
            <w:r w:rsidRPr="00164B28">
              <w:t>Tematyka prowadzonych badań naukowych / publikacji / kierowanych projektów związana jest z tematyką prowadzonych kursów; w ramach prowadzonych wykładów przedstawiane są przykłady związane z bezpośrednio wykonywanymi badaniami naukowymi.</w:t>
            </w:r>
          </w:p>
        </w:tc>
      </w:tr>
    </w:tbl>
    <w:p w14:paraId="60061E4C" w14:textId="77777777" w:rsidR="00C506E9" w:rsidRPr="00C506E9" w:rsidRDefault="00C506E9" w:rsidP="00F12370">
      <w:pPr>
        <w:rPr>
          <w:b/>
        </w:rPr>
      </w:pPr>
    </w:p>
    <w:sectPr w:rsidR="00C506E9" w:rsidRPr="00C50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065B7"/>
    <w:multiLevelType w:val="hybridMultilevel"/>
    <w:tmpl w:val="44665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D7A7E"/>
    <w:multiLevelType w:val="hybridMultilevel"/>
    <w:tmpl w:val="B94AE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6238EC"/>
    <w:multiLevelType w:val="hybridMultilevel"/>
    <w:tmpl w:val="2144AAD4"/>
    <w:lvl w:ilvl="0" w:tplc="11985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45DCC"/>
    <w:multiLevelType w:val="hybridMultilevel"/>
    <w:tmpl w:val="3C7E0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A276C"/>
    <w:multiLevelType w:val="hybridMultilevel"/>
    <w:tmpl w:val="24B24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770705">
    <w:abstractNumId w:val="2"/>
  </w:num>
  <w:num w:numId="2" w16cid:durableId="1726904388">
    <w:abstractNumId w:val="4"/>
  </w:num>
  <w:num w:numId="3" w16cid:durableId="1110591449">
    <w:abstractNumId w:val="0"/>
  </w:num>
  <w:num w:numId="4" w16cid:durableId="1645234045">
    <w:abstractNumId w:val="1"/>
  </w:num>
  <w:num w:numId="5" w16cid:durableId="9254615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845C5"/>
    <w:rsid w:val="00164B28"/>
    <w:rsid w:val="00223FD3"/>
    <w:rsid w:val="002B12FA"/>
    <w:rsid w:val="00301F49"/>
    <w:rsid w:val="00340658"/>
    <w:rsid w:val="003B64D1"/>
    <w:rsid w:val="003D24CB"/>
    <w:rsid w:val="00401CBB"/>
    <w:rsid w:val="004D12B8"/>
    <w:rsid w:val="004F3B9F"/>
    <w:rsid w:val="005533BD"/>
    <w:rsid w:val="005C51C5"/>
    <w:rsid w:val="00705AAA"/>
    <w:rsid w:val="00853C12"/>
    <w:rsid w:val="008B5737"/>
    <w:rsid w:val="009276FB"/>
    <w:rsid w:val="00961C16"/>
    <w:rsid w:val="00A04990"/>
    <w:rsid w:val="00B13145"/>
    <w:rsid w:val="00B66305"/>
    <w:rsid w:val="00BC4973"/>
    <w:rsid w:val="00C506E9"/>
    <w:rsid w:val="00C825AF"/>
    <w:rsid w:val="00D31ED9"/>
    <w:rsid w:val="00D31F2A"/>
    <w:rsid w:val="00E04C4B"/>
    <w:rsid w:val="00E567DE"/>
    <w:rsid w:val="00F12370"/>
    <w:rsid w:val="00F211B3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76F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276FB"/>
    <w:pPr>
      <w:spacing w:after="0"/>
      <w:jc w:val="left"/>
    </w:pPr>
    <w:rPr>
      <w:rFonts w:ascii="Times New Roman" w:hAnsi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76FB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9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F0988720-D786-4E63-8B2E-494CB470CBF9}"/>
</file>

<file path=customXml/itemProps3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2024-02-15T10:30:00Z</dcterms:created>
  <dcterms:modified xsi:type="dcterms:W3CDTF">2024-02-15T10:30:00Z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