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39C60F6A" w:rsidR="00961C16" w:rsidRPr="00B857CE" w:rsidRDefault="001B7CCB" w:rsidP="00BA16C2">
            <w:pPr>
              <w:rPr>
                <w:color w:val="000000"/>
              </w:rPr>
            </w:pPr>
            <w:r>
              <w:rPr>
                <w:color w:val="000000"/>
              </w:rPr>
              <w:t xml:space="preserve">Bogdan </w:t>
            </w:r>
            <w:proofErr w:type="spellStart"/>
            <w:r>
              <w:rPr>
                <w:color w:val="000000"/>
              </w:rPr>
              <w:t>Skwarzec</w:t>
            </w:r>
            <w:proofErr w:type="spellEnd"/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5A7993ED" w:rsidR="00961C16" w:rsidRPr="00B857CE" w:rsidRDefault="001B7CCB" w:rsidP="00BA16C2">
            <w:r w:rsidRPr="00415B05">
              <w:rPr>
                <w:color w:val="2F5496" w:themeColor="accent5" w:themeShade="BF"/>
              </w:rPr>
              <w:t>Profesor chemii</w:t>
            </w:r>
            <w:r w:rsidR="00415B05" w:rsidRPr="00415B05">
              <w:rPr>
                <w:color w:val="2F5496" w:themeColor="accent5" w:themeShade="BF"/>
              </w:rPr>
              <w:t xml:space="preserve"> (2005)</w:t>
            </w:r>
            <w:r w:rsidRPr="00415B05">
              <w:rPr>
                <w:color w:val="2F5496" w:themeColor="accent5" w:themeShade="BF"/>
              </w:rPr>
              <w:t>, dyscyplina: nauki chemiczne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27B28518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1B7CCB">
              <w:rPr>
                <w:color w:val="002060"/>
              </w:rPr>
              <w:t xml:space="preserve"> II stopień: Radiochemia środowiska i ochrona radiologiczna (</w:t>
            </w:r>
            <w:r w:rsidR="00854CBA">
              <w:rPr>
                <w:color w:val="002060"/>
              </w:rPr>
              <w:t>W-</w:t>
            </w:r>
            <w:r w:rsidR="001B7CCB">
              <w:rPr>
                <w:color w:val="002060"/>
              </w:rPr>
              <w:t>30), Chemiczna i radiochemiczna analiza środowiska (</w:t>
            </w:r>
            <w:r w:rsidR="00854CBA">
              <w:rPr>
                <w:color w:val="002060"/>
              </w:rPr>
              <w:t>W-30</w:t>
            </w:r>
            <w:r w:rsidR="001B7CCB">
              <w:rPr>
                <w:color w:val="002060"/>
              </w:rPr>
              <w:t>), Radiochemia środowiska (</w:t>
            </w:r>
            <w:r w:rsidR="00854CBA">
              <w:rPr>
                <w:color w:val="002060"/>
              </w:rPr>
              <w:t>W-</w:t>
            </w:r>
            <w:r w:rsidR="001B7CCB">
              <w:rPr>
                <w:color w:val="002060"/>
              </w:rPr>
              <w:t xml:space="preserve">18),  </w:t>
            </w:r>
            <w:r w:rsidR="00854CBA">
              <w:rPr>
                <w:color w:val="002060"/>
              </w:rPr>
              <w:t xml:space="preserve"> 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EF1C52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0B39EC26" w14:textId="758EC52D" w:rsidR="00D551D0" w:rsidRDefault="00D551D0" w:rsidP="009F7EC6">
            <w:pPr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</w:pPr>
            <w:r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Badania z zakresu </w:t>
            </w:r>
            <w:hyperlink r:id="rId8" w:tooltip="Chemia środowiska" w:history="1">
              <w:r w:rsidRPr="00D551D0">
                <w:rPr>
                  <w:rFonts w:asciiTheme="minorHAnsi" w:hAnsiTheme="minorHAnsi" w:cstheme="minorHAnsi"/>
                  <w:color w:val="2F5496" w:themeColor="accent5" w:themeShade="BF"/>
                  <w:szCs w:val="22"/>
                </w:rPr>
                <w:t>chemii środowiska</w:t>
              </w:r>
            </w:hyperlink>
            <w:r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, </w:t>
            </w:r>
            <w:hyperlink r:id="rId9" w:tooltip="Chemia jądrowa" w:history="1">
              <w:r w:rsidRPr="00D551D0">
                <w:rPr>
                  <w:rFonts w:asciiTheme="minorHAnsi" w:hAnsiTheme="minorHAnsi" w:cstheme="minorHAnsi"/>
                  <w:color w:val="2F5496" w:themeColor="accent5" w:themeShade="BF"/>
                  <w:szCs w:val="22"/>
                </w:rPr>
                <w:t>chemii jądrowej</w:t>
              </w:r>
            </w:hyperlink>
            <w:r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, radiochemii środowiska i </w:t>
            </w:r>
            <w:hyperlink r:id="rId10" w:tooltip="Ochrona radiologiczna" w:history="1">
              <w:r w:rsidRPr="00D551D0">
                <w:rPr>
                  <w:rFonts w:asciiTheme="minorHAnsi" w:hAnsiTheme="minorHAnsi" w:cstheme="minorHAnsi"/>
                  <w:color w:val="2F5496" w:themeColor="accent5" w:themeShade="BF"/>
                  <w:szCs w:val="22"/>
                </w:rPr>
                <w:t>ochrony radiologicznej</w:t>
              </w:r>
            </w:hyperlink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oraz </w:t>
            </w:r>
            <w:r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radiochemicznej analizy śladowej. </w:t>
            </w:r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Dotyczą one oznaczania, </w:t>
            </w:r>
            <w:r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nagromadzaniem i rozprzestrzeni</w:t>
            </w:r>
            <w:r w:rsidR="00854CBA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a</w:t>
            </w:r>
            <w:r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niem naturalnych </w:t>
            </w:r>
            <w:r w:rsidR="00920A5D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(polon Po-210, ołów Pb-210, </w:t>
            </w:r>
            <w:r w:rsidR="00744E08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uran U-234,235,238) </w:t>
            </w:r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oraz </w:t>
            </w:r>
            <w:r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sztucznych radionuklidów</w:t>
            </w:r>
            <w:r w:rsidR="00744E08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(pluton Pu-238,239,240,241)</w:t>
            </w:r>
            <w:r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w środowisku przyrodniczym.</w:t>
            </w:r>
            <w:r w:rsidR="00744E08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Lista najważniejszych </w:t>
            </w:r>
            <w:r w:rsidR="006558BA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10 </w:t>
            </w:r>
            <w:r w:rsidR="00744E08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oryginalnych artykułów naukowych opublikowanych w latach 2016-2022. </w:t>
            </w:r>
          </w:p>
          <w:p w14:paraId="534E9579" w14:textId="282EA33A" w:rsidR="001D67DB" w:rsidRPr="001D67DB" w:rsidRDefault="001D67DB" w:rsidP="001D67DB">
            <w:pPr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- </w:t>
            </w: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Olszewski G., </w:t>
            </w:r>
            <w:proofErr w:type="spellStart"/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Boryło</w:t>
            </w:r>
            <w:proofErr w:type="spellEnd"/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A., </w:t>
            </w:r>
            <w:proofErr w:type="spellStart"/>
            <w:r w:rsidRPr="001D67DB">
              <w:rPr>
                <w:rFonts w:asciiTheme="minorHAnsi" w:hAnsiTheme="minorHAnsi" w:cstheme="minorHAnsi"/>
                <w:bCs/>
                <w:color w:val="2F5496" w:themeColor="accent5" w:themeShade="BF"/>
                <w:szCs w:val="22"/>
              </w:rPr>
              <w:t>Skwarzec</w:t>
            </w:r>
            <w:proofErr w:type="spellEnd"/>
            <w:r w:rsidRPr="001D67DB">
              <w:rPr>
                <w:rFonts w:asciiTheme="minorHAnsi" w:hAnsiTheme="minorHAnsi" w:cstheme="minorHAnsi"/>
                <w:bCs/>
                <w:color w:val="2F5496" w:themeColor="accent5" w:themeShade="BF"/>
                <w:szCs w:val="22"/>
              </w:rPr>
              <w:t xml:space="preserve"> B.,</w:t>
            </w:r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</w:t>
            </w: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The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radiological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impact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of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phosphogypsum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stockpile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in Wiślinka (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northern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Poland) on the Martwa Wisła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river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water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Journal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of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Radioanalytical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and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Nuclear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Chemistry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, 307(1), 653-660, 2016</w:t>
            </w:r>
            <w:r w:rsidR="006558BA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.</w:t>
            </w:r>
          </w:p>
          <w:p w14:paraId="70EDFE08" w14:textId="35EC6543" w:rsidR="001D67DB" w:rsidRPr="00EF1C52" w:rsidRDefault="001D67DB" w:rsidP="001D67DB">
            <w:pPr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</w:pP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- Olszewski G.,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Boryło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A.,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Skwarzec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B.,</w:t>
            </w:r>
            <w:r w:rsidRPr="00EF1C52">
              <w:rPr>
                <w:rFonts w:asciiTheme="minorHAnsi" w:hAnsiTheme="minorHAnsi" w:cstheme="minorHAnsi"/>
                <w:b/>
                <w:color w:val="2F5496" w:themeColor="accent5" w:themeShade="BF"/>
                <w:szCs w:val="22"/>
                <w:lang w:val="en-US"/>
              </w:rPr>
              <w:t xml:space="preserve"> </w:t>
            </w: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A study on possible use of </w:t>
            </w:r>
            <w:r w:rsidRPr="001D67DB">
              <w:rPr>
                <w:rFonts w:asciiTheme="minorHAnsi" w:hAnsiTheme="minorHAnsi" w:cstheme="minorHAnsi"/>
                <w:i/>
                <w:color w:val="2F5496" w:themeColor="accent5" w:themeShade="BF"/>
                <w:szCs w:val="22"/>
                <w:lang w:val="en-US"/>
              </w:rPr>
              <w:t>Urtica dioica</w:t>
            </w: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(common nettle) plants as uranium (</w:t>
            </w: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vertAlign w:val="superscript"/>
                <w:lang w:val="en-US"/>
              </w:rPr>
              <w:t>234</w:t>
            </w: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U, </w:t>
            </w: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vertAlign w:val="superscript"/>
                <w:lang w:val="en-US"/>
              </w:rPr>
              <w:t>238</w:t>
            </w: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U) contamination bioindicator near </w:t>
            </w:r>
            <w:proofErr w:type="spellStart"/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phosphogypsum</w:t>
            </w:r>
            <w:proofErr w:type="spellEnd"/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stockpile, </w:t>
            </w:r>
          </w:p>
          <w:p w14:paraId="753773B6" w14:textId="67D31738" w:rsidR="001D67DB" w:rsidRPr="001D67DB" w:rsidRDefault="001D67DB" w:rsidP="001D67DB">
            <w:pPr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</w:pP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Journal of Radioanalytical and Nuclear Chemistry, 308(1), 37-46, 2016</w:t>
            </w:r>
            <w:r w:rsidR="006558BA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.</w:t>
            </w:r>
          </w:p>
          <w:p w14:paraId="27439D93" w14:textId="62C62DAC" w:rsidR="001D67DB" w:rsidRPr="00EF1C52" w:rsidRDefault="001D67DB" w:rsidP="001D67DB">
            <w:pPr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</w:pP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- Olszewski G.,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Boryło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A., </w:t>
            </w:r>
            <w:proofErr w:type="spellStart"/>
            <w:r w:rsidRPr="00EF1C52">
              <w:rPr>
                <w:rFonts w:asciiTheme="minorHAnsi" w:hAnsiTheme="minorHAnsi" w:cstheme="minorHAnsi"/>
                <w:bCs/>
                <w:color w:val="2F5496" w:themeColor="accent5" w:themeShade="BF"/>
                <w:szCs w:val="22"/>
                <w:lang w:val="en-US"/>
              </w:rPr>
              <w:t>Skwarzec</w:t>
            </w:r>
            <w:proofErr w:type="spellEnd"/>
            <w:r w:rsidRPr="00EF1C52">
              <w:rPr>
                <w:rFonts w:asciiTheme="minorHAnsi" w:hAnsiTheme="minorHAnsi" w:cstheme="minorHAnsi"/>
                <w:bCs/>
                <w:color w:val="2F5496" w:themeColor="accent5" w:themeShade="BF"/>
                <w:szCs w:val="22"/>
                <w:lang w:val="en-US"/>
              </w:rPr>
              <w:t xml:space="preserve"> B., </w:t>
            </w: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A study on possible use of </w:t>
            </w:r>
            <w:r w:rsidRPr="001D67DB">
              <w:rPr>
                <w:rFonts w:asciiTheme="minorHAnsi" w:hAnsiTheme="minorHAnsi" w:cstheme="minorHAnsi"/>
                <w:i/>
                <w:color w:val="2F5496" w:themeColor="accent5" w:themeShade="BF"/>
                <w:szCs w:val="22"/>
                <w:lang w:val="en-US"/>
              </w:rPr>
              <w:t>Urtica dioica</w:t>
            </w: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(common nettle) plants as polonium </w:t>
            </w: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vertAlign w:val="superscript"/>
                <w:lang w:val="en-US"/>
              </w:rPr>
              <w:t>210</w:t>
            </w: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Po and lead </w:t>
            </w: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vertAlign w:val="superscript"/>
                <w:lang w:val="en-US"/>
              </w:rPr>
              <w:t>210</w:t>
            </w:r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Pb contamination </w:t>
            </w:r>
            <w:proofErr w:type="spellStart"/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biomonitor</w:t>
            </w:r>
            <w:proofErr w:type="spellEnd"/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in the area of </w:t>
            </w:r>
            <w:proofErr w:type="spellStart"/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phosphogypsum</w:t>
            </w:r>
            <w:proofErr w:type="spellEnd"/>
            <w:r w:rsidRPr="001D67DB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stockpile, Environmental Science and Pollution Research, 23(7), 6700-6708, 2016</w:t>
            </w:r>
            <w:r w:rsidR="006558BA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.</w:t>
            </w:r>
          </w:p>
          <w:p w14:paraId="3164F8F0" w14:textId="7A14C248" w:rsidR="009F7EC6" w:rsidRPr="00EF1C52" w:rsidRDefault="009F7EC6" w:rsidP="009F7EC6">
            <w:pPr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</w:pP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-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Strumińska-Parulska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D.,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Szymańska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K., 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Krasińska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G.,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Skwarzec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B.,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Falamdysz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J. </w:t>
            </w:r>
            <w:r w:rsidR="00D551D0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, </w:t>
            </w:r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Determination of </w:t>
            </w:r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vertAlign w:val="superscript"/>
                <w:lang w:val="en-US"/>
              </w:rPr>
              <w:t>210</w:t>
            </w:r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Po and </w:t>
            </w:r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vertAlign w:val="superscript"/>
                <w:lang w:val="en-US"/>
              </w:rPr>
              <w:t>210</w:t>
            </w:r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Pb in red-capper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scaber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(</w:t>
            </w:r>
            <w:proofErr w:type="spellStart"/>
            <w:r w:rsidRPr="009F7EC6">
              <w:rPr>
                <w:rFonts w:asciiTheme="minorHAnsi" w:hAnsiTheme="minorHAnsi" w:cstheme="minorHAnsi"/>
                <w:i/>
                <w:color w:val="2F5496" w:themeColor="accent5" w:themeShade="BF"/>
                <w:szCs w:val="22"/>
                <w:lang w:val="en-US"/>
              </w:rPr>
              <w:t>Leccinum</w:t>
            </w:r>
            <w:proofErr w:type="spellEnd"/>
            <w:r w:rsidRPr="009F7EC6">
              <w:rPr>
                <w:rFonts w:asciiTheme="minorHAnsi" w:hAnsiTheme="minorHAnsi" w:cstheme="minorHAnsi"/>
                <w:i/>
                <w:color w:val="2F5496" w:themeColor="accent5" w:themeShade="BF"/>
                <w:szCs w:val="22"/>
                <w:lang w:val="en-US"/>
              </w:rPr>
              <w:t xml:space="preserve"> </w:t>
            </w:r>
            <w:proofErr w:type="spellStart"/>
            <w:r w:rsidRPr="009F7EC6">
              <w:rPr>
                <w:rFonts w:asciiTheme="minorHAnsi" w:hAnsiTheme="minorHAnsi" w:cstheme="minorHAnsi"/>
                <w:i/>
                <w:color w:val="2F5496" w:themeColor="accent5" w:themeShade="BF"/>
                <w:szCs w:val="22"/>
                <w:lang w:val="en-US"/>
              </w:rPr>
              <w:t>aurantiacum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): bioconcentration and possible related dose assessment, Environmental Science and Pollution Research, 23(22), 22606-22613, 2016</w:t>
            </w:r>
            <w:r w:rsidR="00744E08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.</w:t>
            </w:r>
          </w:p>
          <w:p w14:paraId="0D1630F7" w14:textId="096E3AEC" w:rsidR="009F7EC6" w:rsidRPr="00EF1C52" w:rsidRDefault="009F7EC6" w:rsidP="009F7EC6">
            <w:pPr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</w:pP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-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Boryło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A.,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Romańczyk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G., </w:t>
            </w:r>
            <w:proofErr w:type="spellStart"/>
            <w:r w:rsidRPr="00EF1C52">
              <w:rPr>
                <w:rFonts w:asciiTheme="minorHAnsi" w:hAnsiTheme="minorHAnsi" w:cstheme="minorHAnsi"/>
                <w:bCs/>
                <w:color w:val="2F5496" w:themeColor="accent5" w:themeShade="BF"/>
                <w:szCs w:val="22"/>
                <w:lang w:val="en-US"/>
              </w:rPr>
              <w:t>Skwarzec</w:t>
            </w:r>
            <w:proofErr w:type="spellEnd"/>
            <w:r w:rsidRPr="00EF1C52">
              <w:rPr>
                <w:rFonts w:asciiTheme="minorHAnsi" w:hAnsiTheme="minorHAnsi" w:cstheme="minorHAnsi"/>
                <w:bCs/>
                <w:color w:val="2F5496" w:themeColor="accent5" w:themeShade="BF"/>
                <w:szCs w:val="22"/>
                <w:lang w:val="en-US"/>
              </w:rPr>
              <w:t xml:space="preserve"> B., </w:t>
            </w:r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Lichens and mosses as polonium and uranium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biomonitors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on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Sobieszewo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Island,</w:t>
            </w:r>
            <w:r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</w:t>
            </w:r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Journal of Radioanalytical and Nuclear Chemistry, 311, 859-869, 2017</w:t>
            </w:r>
            <w:r w:rsidR="00744E08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.</w:t>
            </w:r>
          </w:p>
          <w:p w14:paraId="7FDC1AAC" w14:textId="17167265" w:rsidR="009F7EC6" w:rsidRPr="00EF1C52" w:rsidRDefault="009F7EC6" w:rsidP="009F7EC6">
            <w:pPr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</w:pP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-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Szymańska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K.,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Falandysz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J.,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Skwarzec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B.,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Strumińska-Parulska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D., </w:t>
            </w:r>
            <w:hyperlink r:id="rId11" w:history="1">
              <w:r w:rsidRPr="00EF1C52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  <w:vertAlign w:val="superscript"/>
                  <w:lang w:val="en-US"/>
                </w:rPr>
                <w:t>210</w:t>
              </w:r>
              <w:r w:rsidRPr="00EF1C52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  <w:lang w:val="en-US"/>
                </w:rPr>
                <w:t xml:space="preserve">Po and </w:t>
              </w:r>
              <w:r w:rsidRPr="00EF1C52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  <w:vertAlign w:val="superscript"/>
                  <w:lang w:val="en-US"/>
                </w:rPr>
                <w:t>210</w:t>
              </w:r>
              <w:r w:rsidRPr="00EF1C52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  <w:lang w:val="en-US"/>
                </w:rPr>
                <w:t xml:space="preserve">Pb in forest mushrooms of genus </w:t>
              </w:r>
              <w:proofErr w:type="spellStart"/>
              <w:r w:rsidRPr="00EF1C52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  <w:lang w:val="en-US"/>
                </w:rPr>
                <w:t>Leccinum</w:t>
              </w:r>
              <w:proofErr w:type="spellEnd"/>
              <w:r w:rsidRPr="00EF1C52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  <w:lang w:val="en-US"/>
                </w:rPr>
                <w:t xml:space="preserve"> and topsoil from northern Poland and its contribution to the radiation dose</w:t>
              </w:r>
            </w:hyperlink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shd w:val="clear" w:color="auto" w:fill="FFFFFF"/>
                <w:lang w:val="en-US"/>
              </w:rPr>
              <w:t xml:space="preserve">, </w:t>
            </w: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Chemosphere 213, 133-140, 2018</w:t>
            </w:r>
          </w:p>
          <w:p w14:paraId="041C18D2" w14:textId="41044B5C" w:rsidR="009F7EC6" w:rsidRPr="00EF1C52" w:rsidRDefault="009F7EC6" w:rsidP="009F7EC6">
            <w:pPr>
              <w:shd w:val="clear" w:color="auto" w:fill="FFFFFF"/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</w:pP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- 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Romańczyk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G.,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Boryło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A.,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Skwarzec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B., Polonium-210 in honey samples from southern Poland</w:t>
            </w:r>
          </w:p>
          <w:p w14:paraId="69F9B561" w14:textId="532F3D3E" w:rsidR="009F7EC6" w:rsidRPr="00EF1C52" w:rsidRDefault="009F7EC6" w:rsidP="009F7EC6">
            <w:pPr>
              <w:shd w:val="clear" w:color="auto" w:fill="FFFFFF"/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</w:pP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Rodiochimica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Acta, 107(8), 679-683, 2019. </w:t>
            </w:r>
          </w:p>
          <w:p w14:paraId="42FA6B7B" w14:textId="71533CDE" w:rsidR="009F7EC6" w:rsidRPr="00EF1C52" w:rsidRDefault="009F7EC6" w:rsidP="009F7EC6">
            <w:pPr>
              <w:shd w:val="clear" w:color="auto" w:fill="FFFFFF"/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</w:pP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lastRenderedPageBreak/>
              <w:t xml:space="preserve"> - Olszewski G.,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Boryło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A.,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Skwarzec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B.,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Strumińska-Parulska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D., </w:t>
            </w:r>
            <w:hyperlink r:id="rId12" w:history="1">
              <w:r w:rsidRPr="00EF1C52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  <w:lang w:val="en-US"/>
                </w:rPr>
                <w:t>Is human hair a proper </w:t>
              </w:r>
              <w:r w:rsidRPr="00EF1C52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  <w:vertAlign w:val="superscript"/>
                  <w:lang w:val="en-US"/>
                </w:rPr>
                <w:t>210</w:t>
              </w:r>
              <w:r w:rsidRPr="00EF1C52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  <w:lang w:val="en-US"/>
                </w:rPr>
                <w:t>Po and </w:t>
              </w:r>
              <w:r w:rsidRPr="00EF1C52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  <w:vertAlign w:val="superscript"/>
                  <w:lang w:val="en-US"/>
                </w:rPr>
                <w:t>210</w:t>
              </w:r>
              <w:r w:rsidRPr="00EF1C52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  <w:lang w:val="en-US"/>
                </w:rPr>
                <w:t>Pb monitor of their increased activity in the human body?</w:t>
              </w:r>
            </w:hyperlink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shd w:val="clear" w:color="auto" w:fill="FFFFFF"/>
                <w:lang w:val="en-US"/>
              </w:rPr>
              <w:t xml:space="preserve">, </w:t>
            </w: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Journal of Radioanalytical and Nuclear Chemistry 319 (3), 953-963, 2019.</w:t>
            </w:r>
          </w:p>
          <w:p w14:paraId="0BBDF07E" w14:textId="3703A150" w:rsidR="009F7EC6" w:rsidRPr="00EF1C52" w:rsidRDefault="009F7EC6" w:rsidP="009F7EC6">
            <w:pPr>
              <w:shd w:val="clear" w:color="auto" w:fill="FFFFFF"/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</w:pP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- 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Boryło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A.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Romańczyk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G.,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Kaczor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M., </w:t>
            </w:r>
            <w:proofErr w:type="spellStart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Skwarzec</w:t>
            </w:r>
            <w:proofErr w:type="spellEnd"/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B.,</w:t>
            </w:r>
            <w:r w:rsidRPr="00EF1C52">
              <w:rPr>
                <w:rFonts w:asciiTheme="minorHAnsi" w:hAnsiTheme="minorHAnsi" w:cstheme="minorHAnsi"/>
                <w:b/>
                <w:bCs/>
                <w:color w:val="2F5496" w:themeColor="accent5" w:themeShade="BF"/>
                <w:szCs w:val="22"/>
                <w:lang w:val="en-US"/>
              </w:rPr>
              <w:t xml:space="preserve"> </w:t>
            </w: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vertAlign w:val="superscript"/>
                <w:lang w:val="en-US"/>
              </w:rPr>
              <w:t>210</w:t>
            </w: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Po in popular medicinal herbs from Poland</w:t>
            </w:r>
          </w:p>
          <w:p w14:paraId="10BFBFC8" w14:textId="32E36717" w:rsidR="009F7EC6" w:rsidRPr="00EF1C52" w:rsidRDefault="009F7EC6" w:rsidP="009F7EC6">
            <w:pPr>
              <w:shd w:val="clear" w:color="auto" w:fill="FFFFFF"/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</w:pP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Isotopes in Environmental and Health studies</w:t>
            </w:r>
            <w:r w:rsidR="00744E08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,</w:t>
            </w: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55(3), 308-316, 2019.</w:t>
            </w:r>
          </w:p>
          <w:p w14:paraId="6A05A809" w14:textId="3E684092" w:rsidR="00961C16" w:rsidRPr="00EF1C52" w:rsidRDefault="006B6604" w:rsidP="00920A5D">
            <w:pPr>
              <w:shd w:val="clear" w:color="auto" w:fill="FFFFFF"/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</w:pP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- </w:t>
            </w:r>
            <w:proofErr w:type="spellStart"/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Boryło</w:t>
            </w:r>
            <w:proofErr w:type="spellEnd"/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. A., </w:t>
            </w:r>
            <w:proofErr w:type="spellStart"/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Skwarzec</w:t>
            </w:r>
            <w:proofErr w:type="spellEnd"/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B., </w:t>
            </w:r>
            <w:proofErr w:type="spellStart"/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Wieczorek</w:t>
            </w:r>
            <w:proofErr w:type="spellEnd"/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 J. </w:t>
            </w:r>
            <w:r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, </w:t>
            </w:r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Sources of </w:t>
            </w:r>
            <w:r w:rsidR="00854CBA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p</w:t>
            </w:r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olonium </w:t>
            </w:r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vertAlign w:val="superscript"/>
                <w:lang w:val="en-US"/>
              </w:rPr>
              <w:t>210</w:t>
            </w:r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Po and </w:t>
            </w:r>
            <w:r w:rsidR="00854CBA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r</w:t>
            </w:r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adio-</w:t>
            </w:r>
            <w:r w:rsidR="00854CBA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l</w:t>
            </w:r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ead </w:t>
            </w:r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vertAlign w:val="superscript"/>
                <w:lang w:val="en-US"/>
              </w:rPr>
              <w:t>210</w:t>
            </w:r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Pb in </w:t>
            </w:r>
            <w:r w:rsidR="00854CBA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h</w:t>
            </w:r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uman </w:t>
            </w:r>
            <w:r w:rsidR="00854CBA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b</w:t>
            </w:r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ody in Poland, </w:t>
            </w:r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kern w:val="3"/>
                <w:szCs w:val="22"/>
                <w:lang w:val="en-US"/>
              </w:rPr>
              <w:t>International Journal of Environmental Research and Public Health</w:t>
            </w:r>
            <w:r w:rsidR="009F7EC6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>, 19, 1984</w:t>
            </w:r>
            <w:r w:rsidR="00744E08" w:rsidRPr="00EF1C52">
              <w:rPr>
                <w:rFonts w:asciiTheme="minorHAnsi" w:hAnsiTheme="minorHAnsi" w:cstheme="minorHAnsi"/>
                <w:color w:val="2F5496" w:themeColor="accent5" w:themeShade="BF"/>
                <w:szCs w:val="22"/>
                <w:lang w:val="en-US"/>
              </w:rPr>
              <w:t xml:space="preserve">, 2022. 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EF682AB" w14:textId="7AABD883" w:rsidR="00744E08" w:rsidRDefault="00854CBA" w:rsidP="00BA16C2">
            <w:pP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Dorobek dydaktyczny </w:t>
            </w:r>
            <w:r w:rsidR="00AD1FDF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dotyczy</w:t>
            </w:r>
            <w:r w:rsidR="00D551D0"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prowadzeniem licznych wykładów  z zakresu </w:t>
            </w:r>
            <w:hyperlink r:id="rId13" w:tooltip="Chemia środowiska" w:history="1">
              <w:r w:rsidR="00D551D0" w:rsidRPr="00D551D0">
                <w:rPr>
                  <w:rFonts w:asciiTheme="minorHAnsi" w:hAnsiTheme="minorHAnsi" w:cstheme="minorHAnsi"/>
                  <w:color w:val="2F5496" w:themeColor="accent5" w:themeShade="BF"/>
                  <w:szCs w:val="22"/>
                </w:rPr>
                <w:t>chemii środowiska</w:t>
              </w:r>
            </w:hyperlink>
            <w:r w:rsidR="00D551D0"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, </w:t>
            </w:r>
            <w:hyperlink r:id="rId14" w:tooltip="Chemia jądrowa" w:history="1">
              <w:r w:rsidR="00D551D0" w:rsidRPr="00D551D0">
                <w:rPr>
                  <w:rFonts w:asciiTheme="minorHAnsi" w:hAnsiTheme="minorHAnsi" w:cstheme="minorHAnsi"/>
                  <w:color w:val="2F5496" w:themeColor="accent5" w:themeShade="BF"/>
                  <w:szCs w:val="22"/>
                </w:rPr>
                <w:t>chemii jądrowej</w:t>
              </w:r>
            </w:hyperlink>
            <w:r w:rsidR="00D551D0"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, analizy radiochemicznej</w:t>
            </w:r>
            <w:r w:rsid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, </w:t>
            </w:r>
            <w:r w:rsidR="00D551D0"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radiochemii środowiska i </w:t>
            </w:r>
            <w:hyperlink r:id="rId15" w:tooltip="Ochrona radiologiczna" w:history="1">
              <w:r w:rsidR="00D551D0" w:rsidRPr="00D551D0">
                <w:rPr>
                  <w:rFonts w:asciiTheme="minorHAnsi" w:hAnsiTheme="minorHAnsi" w:cstheme="minorHAnsi"/>
                  <w:color w:val="2F5496" w:themeColor="accent5" w:themeShade="BF"/>
                  <w:szCs w:val="22"/>
                </w:rPr>
                <w:t>ochrony radiologicznej</w:t>
              </w:r>
            </w:hyperlink>
            <w:r w:rsidR="00D551D0"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, energetyki jądrowej</w:t>
            </w:r>
            <w:r w:rsidR="00AD1FDF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i procesów reaktorowych</w:t>
            </w:r>
            <w:r w:rsidR="00D551D0" w:rsidRPr="00D551D0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 oraz przemysłu jądrowego</w:t>
            </w:r>
            <w:r w:rsidR="00920A5D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na czterech kierunkach studiów: chemii, ochrony środowiska, biznesu chemicznego oraz bezpieczeństwa jądrowego i ochrony radiologicznej. Na potrzeby studentów </w:t>
            </w:r>
            <w:r w:rsidR="00AD1FDF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pow</w:t>
            </w:r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s</w:t>
            </w:r>
            <w:r w:rsidR="00AD1FDF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tał</w:t>
            </w:r>
            <w:r w:rsidR="00920A5D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podręcznik akademicki pt</w:t>
            </w:r>
            <w:r w:rsidR="00744E08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.</w:t>
            </w:r>
            <w:r w:rsidR="00920A5D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„Radiochemia środowiska”, który został wydany w 2021 przez Wydawnictwo Uniwersytetu Gdańskiego. Ponadto </w:t>
            </w:r>
            <w:r w:rsidR="00744E08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w latach 2017-2023 </w:t>
            </w:r>
            <w:r w:rsidR="006558BA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ukazało się</w:t>
            </w:r>
            <w:r w:rsidR="00920A5D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kilka artykułów naukowych i popularnonaukowych o charakterze dydaktycznym:</w:t>
            </w:r>
          </w:p>
          <w:p w14:paraId="4012DF79" w14:textId="77777777" w:rsidR="006558BA" w:rsidRDefault="00920A5D" w:rsidP="00744E08">
            <w:pP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-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Boryło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A.,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Skwarzec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B.,</w:t>
            </w:r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</w:t>
            </w:r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Hałda fosfogipsów w Wiślince w opinii społecznej,</w:t>
            </w:r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</w:t>
            </w:r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Biuletyn Informacyjny NOT, 18, 26-30, 2017</w:t>
            </w:r>
            <w:r w:rsidR="00744E08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.</w:t>
            </w:r>
          </w:p>
          <w:p w14:paraId="18442144" w14:textId="69781D8F" w:rsidR="00920A5D" w:rsidRPr="006558BA" w:rsidRDefault="00920A5D" w:rsidP="00744E08">
            <w:pP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2F5496" w:themeColor="accent5" w:themeShade="BF"/>
                <w:szCs w:val="22"/>
              </w:rPr>
              <w:t xml:space="preserve">- </w:t>
            </w:r>
            <w:proofErr w:type="spellStart"/>
            <w:r w:rsidRPr="009F7EC6">
              <w:rPr>
                <w:rFonts w:asciiTheme="minorHAnsi" w:hAnsiTheme="minorHAnsi" w:cstheme="minorHAnsi"/>
                <w:bCs/>
                <w:color w:val="2F5496" w:themeColor="accent5" w:themeShade="BF"/>
                <w:szCs w:val="22"/>
              </w:rPr>
              <w:t>Skwarzec</w:t>
            </w:r>
            <w:proofErr w:type="spellEnd"/>
            <w:r w:rsidRPr="009F7EC6">
              <w:rPr>
                <w:rFonts w:asciiTheme="minorHAnsi" w:hAnsiTheme="minorHAnsi" w:cstheme="minorHAnsi"/>
                <w:bCs/>
                <w:color w:val="2F5496" w:themeColor="accent5" w:themeShade="BF"/>
                <w:szCs w:val="22"/>
              </w:rPr>
              <w:t xml:space="preserve"> B</w:t>
            </w:r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., Maria Skłodowska-Curie (1867-1934) – rodowód, życie i odkrycia naukowe oraz naukowa spuścizna, Forum Akademickie, Nr 10, 11 i 12, 2017</w:t>
            </w:r>
            <w:r w:rsidR="00744E08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.</w:t>
            </w:r>
          </w:p>
          <w:p w14:paraId="08BCE71A" w14:textId="77777777" w:rsidR="00920A5D" w:rsidRPr="009F7EC6" w:rsidRDefault="00920A5D" w:rsidP="00920A5D">
            <w:pPr>
              <w:shd w:val="clear" w:color="auto" w:fill="FFFFFF"/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2F5496" w:themeColor="accent5" w:themeShade="BF"/>
                <w:szCs w:val="22"/>
              </w:rPr>
              <w:t xml:space="preserve">-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Skwarzec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B.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Богдан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Скважец</w:t>
            </w:r>
            <w:proofErr w:type="spellEnd"/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, </w:t>
            </w:r>
            <w:hyperlink r:id="rId16" w:history="1">
              <w:proofErr w:type="spellStart"/>
              <w:r w:rsidRPr="009F7EC6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</w:rPr>
                <w:t>Мария</w:t>
              </w:r>
              <w:proofErr w:type="spellEnd"/>
              <w:r w:rsidRPr="009F7EC6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</w:rPr>
                <w:t xml:space="preserve"> </w:t>
              </w:r>
              <w:proofErr w:type="spellStart"/>
              <w:r w:rsidRPr="009F7EC6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</w:rPr>
                <w:t>Склодовска-Кюри</w:t>
              </w:r>
              <w:proofErr w:type="spellEnd"/>
              <w:r w:rsidRPr="009F7EC6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</w:rPr>
                <w:t xml:space="preserve"> (1867–1934)-</w:t>
              </w:r>
              <w:proofErr w:type="spellStart"/>
              <w:r w:rsidRPr="009F7EC6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</w:rPr>
                <w:t>живот</w:t>
              </w:r>
              <w:proofErr w:type="spellEnd"/>
              <w:r w:rsidRPr="009F7EC6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</w:rPr>
                <w:t xml:space="preserve"> и </w:t>
              </w:r>
              <w:proofErr w:type="spellStart"/>
              <w:r w:rsidRPr="009F7EC6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</w:rPr>
                <w:t>научни</w:t>
              </w:r>
              <w:proofErr w:type="spellEnd"/>
              <w:r w:rsidRPr="009F7EC6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</w:rPr>
                <w:t xml:space="preserve"> </w:t>
              </w:r>
              <w:proofErr w:type="spellStart"/>
              <w:r w:rsidRPr="009F7EC6">
                <w:rPr>
                  <w:rFonts w:asciiTheme="minorHAnsi" w:hAnsiTheme="minorHAnsi" w:cstheme="minorHAnsi"/>
                  <w:color w:val="2F5496" w:themeColor="accent5" w:themeShade="BF"/>
                  <w:szCs w:val="22"/>
                  <w:shd w:val="clear" w:color="auto" w:fill="FFFFFF"/>
                </w:rPr>
                <w:t>открития</w:t>
              </w:r>
              <w:proofErr w:type="spellEnd"/>
            </w:hyperlink>
            <w:r>
              <w:rPr>
                <w:rFonts w:asciiTheme="minorHAnsi" w:hAnsiTheme="minorHAnsi" w:cstheme="minorHAnsi"/>
                <w:color w:val="2F5496" w:themeColor="accent5" w:themeShade="BF"/>
                <w:szCs w:val="22"/>
                <w:shd w:val="clear" w:color="auto" w:fill="FFFFFF"/>
              </w:rPr>
              <w:t xml:space="preserve">,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Literaturen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Vestnik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, ISSN 1310-9651, Nr 41, 39-38, 2019</w:t>
            </w:r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,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Полски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институт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в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София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(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България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), Sofia (Bułgaria)</w:t>
            </w:r>
          </w:p>
          <w:p w14:paraId="136CFD5B" w14:textId="3A956233" w:rsidR="00920A5D" w:rsidRDefault="00920A5D" w:rsidP="00920A5D">
            <w:pPr>
              <w:shd w:val="clear" w:color="auto" w:fill="FFFFFF"/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</w:pPr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-  </w:t>
            </w:r>
            <w:proofErr w:type="spellStart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Skwarzec</w:t>
            </w:r>
            <w:proofErr w:type="spellEnd"/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B.</w:t>
            </w:r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, </w:t>
            </w:r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Gdańska radiochemia, radioekologia i analiza radiochemiczna</w:t>
            </w:r>
            <w:r w:rsidR="00854CBA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, </w:t>
            </w:r>
            <w:r w:rsidRPr="009F7EC6"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Analityka, Nr 1, 52-52, 2020.</w:t>
            </w:r>
          </w:p>
          <w:p w14:paraId="41C8F396" w14:textId="1D07CB52" w:rsidR="00920A5D" w:rsidRPr="00744E08" w:rsidRDefault="00920A5D" w:rsidP="00744E08">
            <w:pPr>
              <w:shd w:val="clear" w:color="auto" w:fill="FFFFFF"/>
              <w:spacing w:after="0"/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- </w:t>
            </w:r>
            <w:proofErr w:type="spellStart"/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>Skwarzec</w:t>
            </w:r>
            <w:proofErr w:type="spellEnd"/>
            <w:r>
              <w:rPr>
                <w:rFonts w:asciiTheme="minorHAnsi" w:hAnsiTheme="minorHAnsi" w:cstheme="minorHAnsi"/>
                <w:color w:val="2F5496" w:themeColor="accent5" w:themeShade="BF"/>
                <w:szCs w:val="22"/>
              </w:rPr>
              <w:t xml:space="preserve"> B., Polon i jego tajemnice, Analityka, Nr 2, 2023. </w:t>
            </w:r>
          </w:p>
        </w:tc>
      </w:tr>
    </w:tbl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605A"/>
    <w:multiLevelType w:val="hybridMultilevel"/>
    <w:tmpl w:val="78444320"/>
    <w:lvl w:ilvl="0" w:tplc="455439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215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E7933"/>
    <w:rsid w:val="001B7CCB"/>
    <w:rsid w:val="001D67DB"/>
    <w:rsid w:val="00340658"/>
    <w:rsid w:val="003D24CB"/>
    <w:rsid w:val="00415B05"/>
    <w:rsid w:val="004F3B9F"/>
    <w:rsid w:val="005533BD"/>
    <w:rsid w:val="005C51C5"/>
    <w:rsid w:val="006558BA"/>
    <w:rsid w:val="006B6604"/>
    <w:rsid w:val="00744E08"/>
    <w:rsid w:val="00854CBA"/>
    <w:rsid w:val="00920A5D"/>
    <w:rsid w:val="00961C16"/>
    <w:rsid w:val="009F7EC6"/>
    <w:rsid w:val="00A04990"/>
    <w:rsid w:val="00AD1FDF"/>
    <w:rsid w:val="00B66305"/>
    <w:rsid w:val="00C506E9"/>
    <w:rsid w:val="00D551D0"/>
    <w:rsid w:val="00E567DE"/>
    <w:rsid w:val="00EF1C52"/>
    <w:rsid w:val="00FF2514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7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Chemia_&#347;rodowiska" TargetMode="External"/><Relationship Id="rId13" Type="http://schemas.openxmlformats.org/officeDocument/2006/relationships/hyperlink" Target="https://pl.wikipedia.org/wiki/Chemia_&#347;rodowisk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javascript:void(0)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javascript:void(0)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javascript:void(0)" TargetMode="External"/><Relationship Id="rId5" Type="http://schemas.openxmlformats.org/officeDocument/2006/relationships/styles" Target="styles.xml"/><Relationship Id="rId15" Type="http://schemas.openxmlformats.org/officeDocument/2006/relationships/hyperlink" Target="https://pl.wikipedia.org/wiki/Ochrona_radiologiczna" TargetMode="External"/><Relationship Id="rId10" Type="http://schemas.openxmlformats.org/officeDocument/2006/relationships/hyperlink" Target="https://pl.wikipedia.org/wiki/Ochrona_radiologiczna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l.wikipedia.org/wiki/Chemia_j&#261;drowa" TargetMode="External"/><Relationship Id="rId14" Type="http://schemas.openxmlformats.org/officeDocument/2006/relationships/hyperlink" Target="https://pl.wikipedia.org/wiki/Chemia_j&#261;dro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617AACB3-178D-46B9-A99F-EBC5C08722E3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932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16</cp:revision>
  <cp:lastPrinted>2023-04-16T07:07:00Z</cp:lastPrinted>
  <dcterms:created xsi:type="dcterms:W3CDTF">2023-03-29T16:05:00Z</dcterms:created>
  <dcterms:modified xsi:type="dcterms:W3CDTF">2023-06-06T10:15:00Z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