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611E7" w14:textId="77777777" w:rsidR="00A17A18" w:rsidRDefault="00DA31D7">
      <w:pPr>
        <w:rPr>
          <w:b/>
        </w:rPr>
      </w:pPr>
      <w:r>
        <w:rPr>
          <w:b/>
        </w:rPr>
        <w:t>Charakterystyka nauczycieli akademickich</w:t>
      </w:r>
    </w:p>
    <w:p w14:paraId="69F9C546" w14:textId="77777777" w:rsidR="00A17A18" w:rsidRDefault="00DA31D7">
      <w:pPr>
        <w:rPr>
          <w:b/>
        </w:rPr>
      </w:pPr>
      <w:r>
        <w:rPr>
          <w:b/>
        </w:rPr>
        <w:t xml:space="preserve">Informacje podstawowe </w:t>
      </w:r>
    </w:p>
    <w:tbl>
      <w:tblPr>
        <w:tblW w:w="8747" w:type="dxa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insideH w:val="single" w:sz="18" w:space="0" w:color="233D81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1671"/>
        <w:gridCol w:w="7076"/>
      </w:tblGrid>
      <w:tr w:rsidR="00A17A18" w14:paraId="5A516547" w14:textId="77777777">
        <w:tc>
          <w:tcPr>
            <w:tcW w:w="167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</w:tcBorders>
            <w:shd w:val="clear" w:color="auto" w:fill="auto"/>
          </w:tcPr>
          <w:p w14:paraId="2E120019" w14:textId="77777777" w:rsidR="00A17A18" w:rsidRDefault="00DA31D7">
            <w:r>
              <w:rPr>
                <w:color w:val="233D81"/>
              </w:rPr>
              <w:t>Imię i nazwisko:</w:t>
            </w:r>
          </w:p>
        </w:tc>
        <w:tc>
          <w:tcPr>
            <w:tcW w:w="7075" w:type="dxa"/>
            <w:tcBorders>
              <w:top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</w:tcPr>
          <w:p w14:paraId="039A879E" w14:textId="77777777" w:rsidR="00A17A18" w:rsidRDefault="00DA31D7">
            <w:pPr>
              <w:rPr>
                <w:color w:val="000000"/>
              </w:rPr>
            </w:pPr>
            <w:r>
              <w:rPr>
                <w:color w:val="000000"/>
              </w:rPr>
              <w:t>Adam Sieradzan</w:t>
            </w:r>
          </w:p>
        </w:tc>
      </w:tr>
      <w:tr w:rsidR="00A17A18" w14:paraId="5052395F" w14:textId="77777777"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</w:tcPr>
          <w:p w14:paraId="7FA74D6D" w14:textId="77777777" w:rsidR="00A17A18" w:rsidRDefault="00DA31D7">
            <w:pPr>
              <w:rPr>
                <w:color w:val="233D81"/>
              </w:rPr>
            </w:pPr>
            <w:r>
              <w:rPr>
                <w:color w:val="233D81"/>
              </w:rPr>
              <w:t xml:space="preserve">Tytuł naukowy/dziedzina, stopień naukowy/dziedzina oraz dyscyplina, tytuł zawodowy (w przypadku tytułu zawodowego lekarza – specjalizacja), rok </w:t>
            </w:r>
            <w:r>
              <w:rPr>
                <w:color w:val="233D81"/>
              </w:rPr>
              <w:t>uzyskania tytułu/stopnia naukowego/tytułu zawodowego:</w:t>
            </w:r>
          </w:p>
        </w:tc>
      </w:tr>
      <w:tr w:rsidR="00A17A18" w14:paraId="43ED57F9" w14:textId="77777777">
        <w:trPr>
          <w:trHeight w:val="563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</w:tcPr>
          <w:p w14:paraId="7D6FC534" w14:textId="77777777" w:rsidR="00A17A18" w:rsidRDefault="00DA31D7">
            <w:r>
              <w:t>dr. hab. 2019, nauki chemiczne, dyscyplina nauk ścisłych i przyrodniczych</w:t>
            </w:r>
          </w:p>
        </w:tc>
      </w:tr>
      <w:tr w:rsidR="00A17A18" w14:paraId="64F6D3BB" w14:textId="77777777">
        <w:trPr>
          <w:trHeight w:val="435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vAlign w:val="center"/>
          </w:tcPr>
          <w:p w14:paraId="0354BD82" w14:textId="77777777" w:rsidR="00A17A18" w:rsidRDefault="00DA31D7">
            <w:r>
              <w:rPr>
                <w:color w:val="233D81"/>
              </w:rPr>
              <w:t xml:space="preserve">Wykaz zajęć/grup zajęć i godzin zajęć prowadzonych na ocenianym kierunku przez nauczyciela akademickiego lub inną osobę w </w:t>
            </w:r>
            <w:r>
              <w:rPr>
                <w:color w:val="233D81"/>
              </w:rPr>
              <w:t>roku akademickim, w którym przeprowadzana jest ocena.</w:t>
            </w:r>
          </w:p>
        </w:tc>
      </w:tr>
      <w:tr w:rsidR="00A17A18" w14:paraId="0BD340B2" w14:textId="77777777">
        <w:trPr>
          <w:trHeight w:val="563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</w:tcPr>
          <w:p w14:paraId="779BF7FF" w14:textId="77777777" w:rsidR="00A17A18" w:rsidRDefault="00DA31D7">
            <w:r>
              <w:rPr>
                <w:color w:val="002060"/>
              </w:rPr>
              <w:t xml:space="preserve">Chemia: </w:t>
            </w:r>
            <w:proofErr w:type="spellStart"/>
            <w:r>
              <w:rPr>
                <w:color w:val="002060"/>
              </w:rPr>
              <w:t>Introduction</w:t>
            </w:r>
            <w:proofErr w:type="spellEnd"/>
            <w:r>
              <w:rPr>
                <w:color w:val="002060"/>
              </w:rPr>
              <w:t xml:space="preserve"> to </w:t>
            </w:r>
            <w:proofErr w:type="spellStart"/>
            <w:r>
              <w:rPr>
                <w:color w:val="002060"/>
              </w:rPr>
              <w:t>Python</w:t>
            </w:r>
            <w:proofErr w:type="spellEnd"/>
            <w:r>
              <w:rPr>
                <w:color w:val="002060"/>
              </w:rPr>
              <w:t xml:space="preserve"> </w:t>
            </w:r>
            <w:proofErr w:type="spellStart"/>
            <w:r>
              <w:rPr>
                <w:color w:val="002060"/>
              </w:rPr>
              <w:t>programming</w:t>
            </w:r>
            <w:proofErr w:type="spellEnd"/>
            <w:r>
              <w:rPr>
                <w:color w:val="002060"/>
              </w:rPr>
              <w:t xml:space="preserve"> (90h, 2 grupy), </w:t>
            </w:r>
            <w:proofErr w:type="spellStart"/>
            <w:r>
              <w:rPr>
                <w:color w:val="002060"/>
              </w:rPr>
              <w:t>Molecular</w:t>
            </w:r>
            <w:proofErr w:type="spellEnd"/>
            <w:r>
              <w:rPr>
                <w:color w:val="002060"/>
              </w:rPr>
              <w:t xml:space="preserve"> </w:t>
            </w:r>
            <w:proofErr w:type="spellStart"/>
            <w:r>
              <w:rPr>
                <w:color w:val="002060"/>
              </w:rPr>
              <w:t>mechanics</w:t>
            </w:r>
            <w:proofErr w:type="spellEnd"/>
            <w:r>
              <w:rPr>
                <w:color w:val="002060"/>
              </w:rPr>
              <w:t xml:space="preserve"> &amp; dynamics (45h, 2 grypy lab., 1 wykład) Pracownia </w:t>
            </w:r>
            <w:r>
              <w:rPr>
                <w:color w:val="002060"/>
              </w:rPr>
              <w:t xml:space="preserve">specjalizacyjna (15h , 1 osoba), </w:t>
            </w:r>
            <w:proofErr w:type="spellStart"/>
            <w:r>
              <w:rPr>
                <w:color w:val="002060"/>
              </w:rPr>
              <w:t>Graduate</w:t>
            </w:r>
            <w:proofErr w:type="spellEnd"/>
            <w:r>
              <w:rPr>
                <w:color w:val="002060"/>
              </w:rPr>
              <w:t xml:space="preserve"> </w:t>
            </w:r>
            <w:proofErr w:type="spellStart"/>
            <w:r>
              <w:rPr>
                <w:color w:val="002060"/>
              </w:rPr>
              <w:t>laboratory</w:t>
            </w:r>
            <w:proofErr w:type="spellEnd"/>
            <w:r>
              <w:rPr>
                <w:color w:val="002060"/>
              </w:rPr>
              <w:t xml:space="preserve"> </w:t>
            </w:r>
            <w:proofErr w:type="spellStart"/>
            <w:r>
              <w:rPr>
                <w:color w:val="002060"/>
              </w:rPr>
              <w:t>course</w:t>
            </w:r>
            <w:proofErr w:type="spellEnd"/>
            <w:r>
              <w:rPr>
                <w:color w:val="002060"/>
              </w:rPr>
              <w:t xml:space="preserve"> (15h, 1 osoba)</w:t>
            </w:r>
          </w:p>
          <w:p w14:paraId="5243749D" w14:textId="77777777" w:rsidR="00A17A18" w:rsidRDefault="00DA31D7">
            <w:r>
              <w:rPr>
                <w:color w:val="002060"/>
              </w:rPr>
              <w:t>-----------------2019-2022---------------------------------------------------------------------</w:t>
            </w:r>
          </w:p>
          <w:p w14:paraId="371716D2" w14:textId="72D7CBE6" w:rsidR="00A17A18" w:rsidRPr="00DA31D7" w:rsidRDefault="00DA31D7">
            <w:proofErr w:type="spellStart"/>
            <w:r>
              <w:rPr>
                <w:color w:val="002060"/>
              </w:rPr>
              <w:t>Chemia:Pracownia</w:t>
            </w:r>
            <w:proofErr w:type="spellEnd"/>
            <w:r>
              <w:rPr>
                <w:color w:val="002060"/>
              </w:rPr>
              <w:t xml:space="preserve"> specjalizacyjna (30h , 2 osoba), Pracownia Magisterska (30h, 2 osoby), Elektroniczna diagnostyka chemiczna (30h, 1 grupa), Pracowania dyplomowa (30h,</w:t>
            </w:r>
            <w:r>
              <w:rPr>
                <w:color w:val="002060"/>
              </w:rPr>
              <w:t xml:space="preserve"> 1 grupa)</w:t>
            </w:r>
          </w:p>
        </w:tc>
      </w:tr>
      <w:tr w:rsidR="00A17A18" w14:paraId="51DC9E4E" w14:textId="77777777"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</w:tcPr>
          <w:p w14:paraId="4265AE4D" w14:textId="77777777" w:rsidR="00A17A18" w:rsidRDefault="00DA31D7">
            <w:pPr>
              <w:rPr>
                <w:color w:val="233D81"/>
              </w:rPr>
            </w:pPr>
            <w:r>
              <w:rPr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>
              <w:rPr>
                <w:b/>
                <w:color w:val="233D81"/>
              </w:rPr>
              <w:t>co najwyżej 10</w:t>
            </w:r>
            <w:r>
              <w:rPr>
                <w:color w:val="233D81"/>
              </w:rPr>
              <w:t xml:space="preserve"> najważniejszych osiągnięć naukowych/artystycznych ze szcz</w:t>
            </w:r>
            <w:r>
              <w:rPr>
                <w:color w:val="233D81"/>
              </w:rPr>
              <w:t xml:space="preserve">ególnym uwzględnieniem ostatnich 6 lat, wraz ze wskazaniem dat uzyskania (publikacji naukowych/osiągnięć artystycznych, patentów i praw ochronnych, zrealizowanych projektów badawczych, nagród krajowych/międzynarodowych za osiągnięcia naukowe/artystyczne), </w:t>
            </w:r>
            <w:r>
              <w:rPr>
                <w:color w:val="233D81"/>
              </w:rPr>
              <w:t>ze szczególnym uwzględnieniem osiągnięć odnoszących się do ocenianego kierunku i prowadzonych na nim zajęć.</w:t>
            </w:r>
          </w:p>
        </w:tc>
      </w:tr>
      <w:tr w:rsidR="00A17A18" w:rsidRPr="00DA31D7" w14:paraId="6AA7BBFA" w14:textId="77777777">
        <w:trPr>
          <w:trHeight w:val="500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</w:tcPr>
          <w:p w14:paraId="17B20A7A" w14:textId="77777777" w:rsidR="00A17A18" w:rsidRDefault="00DA31D7">
            <w:r>
              <w:t xml:space="preserve">Najnowsze badania naukowe prezentuje na zajęciach z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chemistry</w:t>
            </w:r>
            <w:proofErr w:type="spellEnd"/>
            <w:r>
              <w:t>, są to m.in. publikacje:</w:t>
            </w:r>
          </w:p>
          <w:p w14:paraId="2448B2A1" w14:textId="77777777" w:rsidR="00A17A18" w:rsidRPr="00DA31D7" w:rsidRDefault="00DA31D7">
            <w:pPr>
              <w:rPr>
                <w:lang w:val="en-US"/>
              </w:rPr>
            </w:pPr>
            <w:r>
              <w:t xml:space="preserve">1. Lipska, A. G., Sieradzan, A. K., </w:t>
            </w:r>
            <w:proofErr w:type="spellStart"/>
            <w:r>
              <w:t>Czaplewski</w:t>
            </w:r>
            <w:proofErr w:type="spellEnd"/>
            <w:r>
              <w:t xml:space="preserve">, C., </w:t>
            </w:r>
            <w:r>
              <w:t xml:space="preserve">Lipińska, A. D., </w:t>
            </w:r>
            <w:proofErr w:type="spellStart"/>
            <w:r>
              <w:t>Ocetkiewicz</w:t>
            </w:r>
            <w:proofErr w:type="spellEnd"/>
            <w:r>
              <w:t xml:space="preserve">, K. M., </w:t>
            </w:r>
            <w:proofErr w:type="spellStart"/>
            <w:r>
              <w:t>Proficz</w:t>
            </w:r>
            <w:proofErr w:type="spellEnd"/>
            <w:r>
              <w:t xml:space="preserve">, J., Czarnul, P., Krawczyk, H., Liwo, A., </w:t>
            </w:r>
            <w:r>
              <w:rPr>
                <w:i/>
              </w:rPr>
              <w:t xml:space="preserve">J. </w:t>
            </w:r>
            <w:proofErr w:type="spellStart"/>
            <w:r>
              <w:rPr>
                <w:i/>
              </w:rPr>
              <w:t>Comput</w:t>
            </w:r>
            <w:proofErr w:type="spellEnd"/>
            <w:r>
              <w:rPr>
                <w:i/>
              </w:rPr>
              <w:t xml:space="preserve">. </w:t>
            </w:r>
            <w:r w:rsidRPr="00DA31D7">
              <w:rPr>
                <w:i/>
                <w:lang w:val="en-US"/>
              </w:rPr>
              <w:t>Chem.</w:t>
            </w:r>
            <w:r w:rsidRPr="00DA31D7">
              <w:rPr>
                <w:lang w:val="en-US"/>
              </w:rPr>
              <w:t xml:space="preserve"> 2023, 1. </w:t>
            </w:r>
            <w:hyperlink r:id="rId7">
              <w:r>
                <w:rPr>
                  <w:rStyle w:val="InternetLink"/>
                </w:rPr>
                <w:t>https://doi.org/10.1002/jcc.27087</w:t>
              </w:r>
            </w:hyperlink>
          </w:p>
          <w:p w14:paraId="13F988D5" w14:textId="77777777" w:rsidR="00A17A18" w:rsidRPr="00DA31D7" w:rsidRDefault="00DA31D7">
            <w:pPr>
              <w:rPr>
                <w:lang w:val="en-US"/>
              </w:rPr>
            </w:pPr>
            <w:r w:rsidRPr="00DA31D7">
              <w:rPr>
                <w:lang w:val="en-US"/>
              </w:rPr>
              <w:t xml:space="preserve">2. </w:t>
            </w:r>
            <w:proofErr w:type="spellStart"/>
            <w:r w:rsidRPr="00DA31D7">
              <w:rPr>
                <w:lang w:val="en-US"/>
              </w:rPr>
              <w:t>Małgorzata</w:t>
            </w:r>
            <w:proofErr w:type="spellEnd"/>
            <w:r w:rsidRPr="00DA31D7">
              <w:rPr>
                <w:lang w:val="en-US"/>
              </w:rPr>
              <w:t xml:space="preserve"> </w:t>
            </w:r>
            <w:proofErr w:type="spellStart"/>
            <w:r w:rsidRPr="00DA31D7">
              <w:rPr>
                <w:lang w:val="en-US"/>
              </w:rPr>
              <w:t>Graul</w:t>
            </w:r>
            <w:proofErr w:type="spellEnd"/>
            <w:r w:rsidRPr="00DA31D7">
              <w:rPr>
                <w:lang w:val="en-US"/>
              </w:rPr>
              <w:t>, N</w:t>
            </w:r>
            <w:r w:rsidRPr="00DA31D7">
              <w:rPr>
                <w:lang w:val="en-US"/>
              </w:rPr>
              <w:t xml:space="preserve">atalia </w:t>
            </w:r>
            <w:proofErr w:type="spellStart"/>
            <w:r w:rsidRPr="00DA31D7">
              <w:rPr>
                <w:lang w:val="en-US"/>
              </w:rPr>
              <w:t>Karska</w:t>
            </w:r>
            <w:proofErr w:type="spellEnd"/>
            <w:r w:rsidRPr="00DA31D7">
              <w:rPr>
                <w:lang w:val="en-US"/>
              </w:rPr>
              <w:t xml:space="preserve">, Magda </w:t>
            </w:r>
            <w:proofErr w:type="spellStart"/>
            <w:r w:rsidRPr="00DA31D7">
              <w:rPr>
                <w:lang w:val="en-US"/>
              </w:rPr>
              <w:t>Wąchalska</w:t>
            </w:r>
            <w:proofErr w:type="spellEnd"/>
            <w:r w:rsidRPr="00DA31D7">
              <w:rPr>
                <w:lang w:val="en-US"/>
              </w:rPr>
              <w:t xml:space="preserve">, </w:t>
            </w:r>
            <w:proofErr w:type="spellStart"/>
            <w:r w:rsidRPr="00DA31D7">
              <w:rPr>
                <w:lang w:val="en-US"/>
              </w:rPr>
              <w:t>Paweł</w:t>
            </w:r>
            <w:proofErr w:type="spellEnd"/>
            <w:r w:rsidRPr="00DA31D7">
              <w:rPr>
                <w:lang w:val="en-US"/>
              </w:rPr>
              <w:t xml:space="preserve"> Krupa, Magdalena J. </w:t>
            </w:r>
            <w:proofErr w:type="spellStart"/>
            <w:r w:rsidRPr="00DA31D7">
              <w:rPr>
                <w:lang w:val="en-US"/>
              </w:rPr>
              <w:t>Ślusarz</w:t>
            </w:r>
            <w:proofErr w:type="spellEnd"/>
            <w:r w:rsidRPr="00DA31D7">
              <w:rPr>
                <w:lang w:val="en-US"/>
              </w:rPr>
              <w:t xml:space="preserve">, Marcin </w:t>
            </w:r>
            <w:proofErr w:type="spellStart"/>
            <w:r w:rsidRPr="00DA31D7">
              <w:rPr>
                <w:lang w:val="en-US"/>
              </w:rPr>
              <w:t>Lubocki</w:t>
            </w:r>
            <w:proofErr w:type="spellEnd"/>
            <w:r w:rsidRPr="00DA31D7">
              <w:rPr>
                <w:lang w:val="en-US"/>
              </w:rPr>
              <w:t xml:space="preserve">, Krystyna </w:t>
            </w:r>
            <w:proofErr w:type="spellStart"/>
            <w:r w:rsidRPr="00DA31D7">
              <w:rPr>
                <w:lang w:val="en-US"/>
              </w:rPr>
              <w:t>Bieńkowska-Szewczyk</w:t>
            </w:r>
            <w:proofErr w:type="spellEnd"/>
            <w:r w:rsidRPr="00DA31D7">
              <w:rPr>
                <w:lang w:val="en-US"/>
              </w:rPr>
              <w:t xml:space="preserve">, </w:t>
            </w:r>
            <w:proofErr w:type="spellStart"/>
            <w:r w:rsidRPr="00DA31D7">
              <w:rPr>
                <w:lang w:val="en-US"/>
              </w:rPr>
              <w:t>Sylwia</w:t>
            </w:r>
            <w:proofErr w:type="spellEnd"/>
            <w:r w:rsidRPr="00DA31D7">
              <w:rPr>
                <w:lang w:val="en-US"/>
              </w:rPr>
              <w:t xml:space="preserve"> </w:t>
            </w:r>
            <w:proofErr w:type="spellStart"/>
            <w:r w:rsidRPr="00DA31D7">
              <w:rPr>
                <w:lang w:val="en-US"/>
              </w:rPr>
              <w:t>Rodziewicz-Motowidło</w:t>
            </w:r>
            <w:proofErr w:type="spellEnd"/>
            <w:r w:rsidRPr="00DA31D7">
              <w:rPr>
                <w:lang w:val="en-US"/>
              </w:rPr>
              <w:t xml:space="preserve">, Adam K. </w:t>
            </w:r>
            <w:proofErr w:type="spellStart"/>
            <w:r w:rsidRPr="00DA31D7">
              <w:rPr>
                <w:lang w:val="en-US"/>
              </w:rPr>
              <w:t>Sieradzan</w:t>
            </w:r>
            <w:proofErr w:type="spellEnd"/>
            <w:r w:rsidRPr="00DA31D7">
              <w:rPr>
                <w:lang w:val="en-US"/>
              </w:rPr>
              <w:t xml:space="preserve">, Andrea D. </w:t>
            </w:r>
            <w:proofErr w:type="spellStart"/>
            <w:r w:rsidRPr="00DA31D7">
              <w:rPr>
                <w:lang w:val="en-US"/>
              </w:rPr>
              <w:t>Lipińska</w:t>
            </w:r>
            <w:proofErr w:type="spellEnd"/>
            <w:r w:rsidRPr="00DA31D7">
              <w:rPr>
                <w:lang w:val="en-US"/>
              </w:rPr>
              <w:t>, The N-terminal Proline Hinge Motif Controls the Structure of Bovine Herpesv</w:t>
            </w:r>
            <w:r w:rsidRPr="00DA31D7">
              <w:rPr>
                <w:lang w:val="en-US"/>
              </w:rPr>
              <w:t xml:space="preserve">irus 1-encoded Inhibitor of the Transporter Associated with Antigen Processing Required for its Immunomodulatory Function, Journal of Molecular Biology, Volume 435, Issue 5, 2023, 167964,ISSN 0022-2836, </w:t>
            </w:r>
            <w:hyperlink r:id="rId8">
              <w:r>
                <w:rPr>
                  <w:rStyle w:val="InternetLink"/>
                </w:rPr>
                <w:t>https://doi.org/10.1016/j.jmb.2023.167964</w:t>
              </w:r>
            </w:hyperlink>
            <w:hyperlink>
              <w:r w:rsidRPr="00DA31D7">
                <w:rPr>
                  <w:lang w:val="en-US"/>
                </w:rPr>
                <w:t>.</w:t>
              </w:r>
            </w:hyperlink>
          </w:p>
          <w:p w14:paraId="67030BA6" w14:textId="77777777" w:rsidR="00A17A18" w:rsidRPr="00DA31D7" w:rsidRDefault="00DA31D7">
            <w:pPr>
              <w:rPr>
                <w:lang w:val="en-US"/>
              </w:rPr>
            </w:pPr>
            <w:r w:rsidRPr="00DA31D7">
              <w:rPr>
                <w:lang w:val="en-US"/>
              </w:rPr>
              <w:t xml:space="preserve">3. </w:t>
            </w:r>
            <w:proofErr w:type="spellStart"/>
            <w:r w:rsidRPr="00DA31D7">
              <w:rPr>
                <w:lang w:val="en-US"/>
              </w:rPr>
              <w:t>Golon</w:t>
            </w:r>
            <w:proofErr w:type="spellEnd"/>
            <w:r w:rsidRPr="00DA31D7">
              <w:rPr>
                <w:lang w:val="en-US"/>
              </w:rPr>
              <w:t xml:space="preserve">, Ł., </w:t>
            </w:r>
            <w:proofErr w:type="spellStart"/>
            <w:r w:rsidRPr="00DA31D7">
              <w:rPr>
                <w:lang w:val="en-US"/>
              </w:rPr>
              <w:t>Sieradzan</w:t>
            </w:r>
            <w:proofErr w:type="spellEnd"/>
            <w:r w:rsidRPr="00DA31D7">
              <w:rPr>
                <w:lang w:val="en-US"/>
              </w:rPr>
              <w:t xml:space="preserve">, A.K. </w:t>
            </w:r>
            <w:proofErr w:type="spellStart"/>
            <w:r w:rsidRPr="00DA31D7">
              <w:rPr>
                <w:lang w:val="en-US"/>
              </w:rPr>
              <w:t>NARall</w:t>
            </w:r>
            <w:proofErr w:type="spellEnd"/>
            <w:r w:rsidRPr="00DA31D7">
              <w:rPr>
                <w:lang w:val="en-US"/>
              </w:rPr>
              <w:t>: a novel tool for reconstruction of the all-atom structure of nucleic acids from he</w:t>
            </w:r>
            <w:r w:rsidRPr="00DA31D7">
              <w:rPr>
                <w:lang w:val="en-US"/>
              </w:rPr>
              <w:t xml:space="preserve">avily coarse-grained model. </w:t>
            </w:r>
            <w:r w:rsidRPr="00DA31D7">
              <w:rPr>
                <w:i/>
                <w:lang w:val="en-US"/>
              </w:rPr>
              <w:t>Chem. Pap.</w:t>
            </w:r>
            <w:r w:rsidRPr="00DA31D7">
              <w:rPr>
                <w:lang w:val="en-US"/>
              </w:rPr>
              <w:t xml:space="preserve"> (2022). </w:t>
            </w:r>
            <w:hyperlink r:id="rId9">
              <w:r>
                <w:rPr>
                  <w:rStyle w:val="InternetLink"/>
                </w:rPr>
                <w:t>https://doi.org/10.1007/s11696-022-02634-x</w:t>
              </w:r>
            </w:hyperlink>
          </w:p>
          <w:p w14:paraId="7AE2C8F3" w14:textId="77777777" w:rsidR="00A17A18" w:rsidRPr="00DA31D7" w:rsidRDefault="00DA31D7">
            <w:pPr>
              <w:rPr>
                <w:lang w:val="en-US"/>
              </w:rPr>
            </w:pPr>
            <w:r w:rsidRPr="00DA31D7">
              <w:rPr>
                <w:lang w:val="en-US"/>
              </w:rPr>
              <w:t xml:space="preserve">4. Pamela </w:t>
            </w:r>
            <w:proofErr w:type="spellStart"/>
            <w:r w:rsidRPr="00DA31D7">
              <w:rPr>
                <w:lang w:val="en-US"/>
              </w:rPr>
              <w:t>Smardz</w:t>
            </w:r>
            <w:proofErr w:type="spellEnd"/>
            <w:r w:rsidRPr="00DA31D7">
              <w:rPr>
                <w:lang w:val="en-US"/>
              </w:rPr>
              <w:t xml:space="preserve">, Adam K. </w:t>
            </w:r>
            <w:proofErr w:type="spellStart"/>
            <w:r w:rsidRPr="00DA31D7">
              <w:rPr>
                <w:lang w:val="en-US"/>
              </w:rPr>
              <w:t>Sieradzan</w:t>
            </w:r>
            <w:proofErr w:type="spellEnd"/>
            <w:r w:rsidRPr="00DA31D7">
              <w:rPr>
                <w:lang w:val="en-US"/>
              </w:rPr>
              <w:t xml:space="preserve">, and </w:t>
            </w:r>
            <w:proofErr w:type="spellStart"/>
            <w:r w:rsidRPr="00DA31D7">
              <w:rPr>
                <w:lang w:val="en-US"/>
              </w:rPr>
              <w:t>Paweł</w:t>
            </w:r>
            <w:proofErr w:type="spellEnd"/>
            <w:r w:rsidRPr="00DA31D7">
              <w:rPr>
                <w:lang w:val="en-US"/>
              </w:rPr>
              <w:t xml:space="preserve"> Krupa, </w:t>
            </w:r>
            <w:r w:rsidRPr="00DA31D7">
              <w:rPr>
                <w:rStyle w:val="Quotation"/>
                <w:lang w:val="en-US"/>
              </w:rPr>
              <w:t>The Journal of Physical Chemistry B</w:t>
            </w:r>
            <w:r w:rsidRPr="00DA31D7">
              <w:rPr>
                <w:lang w:val="en-US"/>
              </w:rPr>
              <w:t xml:space="preserve"> </w:t>
            </w:r>
            <w:r w:rsidRPr="00DA31D7">
              <w:rPr>
                <w:rStyle w:val="StrongEmphasis"/>
                <w:lang w:val="en-US"/>
              </w:rPr>
              <w:t>2022</w:t>
            </w:r>
            <w:r w:rsidRPr="00DA31D7">
              <w:rPr>
                <w:lang w:val="en-US"/>
              </w:rPr>
              <w:t xml:space="preserve"> </w:t>
            </w:r>
            <w:r w:rsidRPr="00DA31D7">
              <w:rPr>
                <w:rStyle w:val="Uwydatnienie"/>
                <w:lang w:val="en-US"/>
              </w:rPr>
              <w:t>126</w:t>
            </w:r>
            <w:r w:rsidRPr="00DA31D7">
              <w:rPr>
                <w:lang w:val="en-US"/>
              </w:rPr>
              <w:t xml:space="preserve"> (33), 6240-6249 DOI: 10.1021/acs.jpcb.2c04718</w:t>
            </w:r>
          </w:p>
          <w:p w14:paraId="694416D3" w14:textId="77777777" w:rsidR="00A17A18" w:rsidRPr="00DA31D7" w:rsidRDefault="00DA31D7">
            <w:pPr>
              <w:spacing w:after="0"/>
              <w:rPr>
                <w:lang w:val="en-US"/>
              </w:rPr>
            </w:pPr>
            <w:r w:rsidRPr="00DA31D7">
              <w:rPr>
                <w:lang w:val="en-US"/>
              </w:rPr>
              <w:t xml:space="preserve">5. Magdalena </w:t>
            </w:r>
            <w:proofErr w:type="spellStart"/>
            <w:r w:rsidRPr="00DA31D7">
              <w:rPr>
                <w:lang w:val="en-US"/>
              </w:rPr>
              <w:t>Bojko</w:t>
            </w:r>
            <w:proofErr w:type="spellEnd"/>
            <w:r w:rsidRPr="00DA31D7">
              <w:rPr>
                <w:lang w:val="en-US"/>
              </w:rPr>
              <w:t xml:space="preserve">, Katarzyna </w:t>
            </w:r>
            <w:proofErr w:type="spellStart"/>
            <w:r w:rsidRPr="00DA31D7">
              <w:rPr>
                <w:lang w:val="en-US"/>
              </w:rPr>
              <w:t>Węgrzyn</w:t>
            </w:r>
            <w:proofErr w:type="spellEnd"/>
            <w:r w:rsidRPr="00DA31D7">
              <w:rPr>
                <w:lang w:val="en-US"/>
              </w:rPr>
              <w:t xml:space="preserve">, Emilia </w:t>
            </w:r>
            <w:proofErr w:type="spellStart"/>
            <w:r w:rsidRPr="00DA31D7">
              <w:rPr>
                <w:lang w:val="en-US"/>
              </w:rPr>
              <w:t>Sikorska</w:t>
            </w:r>
            <w:proofErr w:type="spellEnd"/>
            <w:r w:rsidRPr="00DA31D7">
              <w:rPr>
                <w:lang w:val="en-US"/>
              </w:rPr>
              <w:t xml:space="preserve">, </w:t>
            </w:r>
            <w:proofErr w:type="spellStart"/>
            <w:r w:rsidRPr="00DA31D7">
              <w:rPr>
                <w:lang w:val="en-US"/>
              </w:rPr>
              <w:t>Mikołaj</w:t>
            </w:r>
            <w:proofErr w:type="spellEnd"/>
            <w:r w:rsidRPr="00DA31D7">
              <w:rPr>
                <w:lang w:val="en-US"/>
              </w:rPr>
              <w:t xml:space="preserve"> </w:t>
            </w:r>
            <w:proofErr w:type="spellStart"/>
            <w:r w:rsidRPr="00DA31D7">
              <w:rPr>
                <w:lang w:val="en-US"/>
              </w:rPr>
              <w:t>Kocikowski</w:t>
            </w:r>
            <w:proofErr w:type="spellEnd"/>
            <w:r w:rsidRPr="00DA31D7">
              <w:rPr>
                <w:lang w:val="en-US"/>
              </w:rPr>
              <w:t xml:space="preserve">, Maciej Parys, Claire </w:t>
            </w:r>
            <w:proofErr w:type="spellStart"/>
            <w:r w:rsidRPr="00DA31D7">
              <w:rPr>
                <w:lang w:val="en-US"/>
              </w:rPr>
              <w:t>Battin</w:t>
            </w:r>
            <w:proofErr w:type="spellEnd"/>
            <w:r w:rsidRPr="00DA31D7">
              <w:rPr>
                <w:lang w:val="en-US"/>
              </w:rPr>
              <w:t xml:space="preserve">, Peter Steinberger, </w:t>
            </w:r>
            <w:proofErr w:type="spellStart"/>
            <w:r w:rsidRPr="00DA31D7">
              <w:rPr>
                <w:lang w:val="en-US"/>
              </w:rPr>
              <w:t>Małgorzata</w:t>
            </w:r>
            <w:proofErr w:type="spellEnd"/>
            <w:r w:rsidRPr="00DA31D7">
              <w:rPr>
                <w:lang w:val="en-US"/>
              </w:rPr>
              <w:t xml:space="preserve"> M. </w:t>
            </w:r>
            <w:proofErr w:type="spellStart"/>
            <w:r w:rsidRPr="00DA31D7">
              <w:rPr>
                <w:lang w:val="en-US"/>
              </w:rPr>
              <w:t>Kogut</w:t>
            </w:r>
            <w:proofErr w:type="spellEnd"/>
            <w:r w:rsidRPr="00DA31D7">
              <w:rPr>
                <w:lang w:val="en-US"/>
              </w:rPr>
              <w:t xml:space="preserve">, </w:t>
            </w:r>
            <w:proofErr w:type="spellStart"/>
            <w:r w:rsidRPr="00DA31D7">
              <w:rPr>
                <w:lang w:val="en-US"/>
              </w:rPr>
              <w:t>Michał</w:t>
            </w:r>
            <w:proofErr w:type="spellEnd"/>
            <w:r w:rsidRPr="00DA31D7">
              <w:rPr>
                <w:lang w:val="en-US"/>
              </w:rPr>
              <w:t xml:space="preserve"> </w:t>
            </w:r>
            <w:proofErr w:type="spellStart"/>
            <w:r w:rsidRPr="00DA31D7">
              <w:rPr>
                <w:lang w:val="en-US"/>
              </w:rPr>
              <w:t>Winnicki</w:t>
            </w:r>
            <w:proofErr w:type="spellEnd"/>
            <w:r w:rsidRPr="00DA31D7">
              <w:rPr>
                <w:lang w:val="en-US"/>
              </w:rPr>
              <w:t xml:space="preserve">, Adam K. </w:t>
            </w:r>
            <w:proofErr w:type="spellStart"/>
            <w:r w:rsidRPr="00DA31D7">
              <w:rPr>
                <w:lang w:val="en-US"/>
              </w:rPr>
              <w:t>Sieradzan</w:t>
            </w:r>
            <w:proofErr w:type="spellEnd"/>
            <w:r w:rsidRPr="00DA31D7">
              <w:rPr>
                <w:lang w:val="en-US"/>
              </w:rPr>
              <w:t xml:space="preserve">, Marta </w:t>
            </w:r>
            <w:proofErr w:type="spellStart"/>
            <w:r w:rsidRPr="00DA31D7">
              <w:rPr>
                <w:lang w:val="en-US"/>
              </w:rPr>
              <w:t>Spodzieja</w:t>
            </w:r>
            <w:proofErr w:type="spellEnd"/>
            <w:r w:rsidRPr="00DA31D7">
              <w:rPr>
                <w:lang w:val="en-US"/>
              </w:rPr>
              <w:t xml:space="preserve">, </w:t>
            </w:r>
            <w:proofErr w:type="spellStart"/>
            <w:r w:rsidRPr="00DA31D7">
              <w:rPr>
                <w:lang w:val="en-US"/>
              </w:rPr>
              <w:t>Sylwia</w:t>
            </w:r>
            <w:proofErr w:type="spellEnd"/>
            <w:r w:rsidRPr="00DA31D7">
              <w:rPr>
                <w:lang w:val="en-US"/>
              </w:rPr>
              <w:t xml:space="preserve"> </w:t>
            </w:r>
            <w:proofErr w:type="spellStart"/>
            <w:r w:rsidRPr="00DA31D7">
              <w:rPr>
                <w:lang w:val="en-US"/>
              </w:rPr>
              <w:t>Rodziewicz-Motowidło</w:t>
            </w:r>
            <w:proofErr w:type="spellEnd"/>
            <w:r w:rsidRPr="00DA31D7">
              <w:rPr>
                <w:lang w:val="en-US"/>
              </w:rPr>
              <w:t>, Design, synthesis and biological evaluation of PD-1 derived peptides as inhibitors of PD-1/PD</w:t>
            </w:r>
            <w:r w:rsidRPr="00DA31D7">
              <w:rPr>
                <w:lang w:val="en-US"/>
              </w:rPr>
              <w:t>-L1 complex formation for cancer therapy, Bioorganic Chemistry, Volume 128, 2022, 106047, ISSN 0045-2068,</w:t>
            </w:r>
          </w:p>
          <w:p w14:paraId="742C82ED" w14:textId="77777777" w:rsidR="00A17A18" w:rsidRPr="00DA31D7" w:rsidRDefault="00DA31D7">
            <w:pPr>
              <w:spacing w:after="0"/>
              <w:rPr>
                <w:lang w:val="en-US"/>
              </w:rPr>
            </w:pPr>
            <w:r w:rsidRPr="00DA31D7">
              <w:rPr>
                <w:lang w:val="en-US"/>
              </w:rPr>
              <w:t>https://doi.org/10.1016/j.bioorg.2022.106047.</w:t>
            </w:r>
          </w:p>
        </w:tc>
      </w:tr>
      <w:tr w:rsidR="00A17A18" w14:paraId="0CF3FDB9" w14:textId="77777777"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</w:tcPr>
          <w:p w14:paraId="3FE345A7" w14:textId="77777777" w:rsidR="00A17A18" w:rsidRDefault="00DA31D7">
            <w:pPr>
              <w:rPr>
                <w:color w:val="233D81"/>
              </w:rPr>
            </w:pPr>
            <w:r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>
              <w:rPr>
                <w:b/>
                <w:color w:val="233D81"/>
              </w:rPr>
              <w:t>co najwyżej 10</w:t>
            </w:r>
            <w:r>
              <w:rPr>
                <w:color w:val="233D81"/>
              </w:rPr>
              <w:t xml:space="preserve"> najważn</w:t>
            </w:r>
            <w:r>
              <w:rPr>
                <w:color w:val="233D81"/>
              </w:rPr>
              <w:t>iejszych osiągnięć dydaktycznych ze szczególnym uwzględnieniem ostatnich 6 lat, wraz z wskazaniem dat uzyskania (np. autorstwo podręczników/materiałów dydaktycznych, wdrożone innowacje dydaktyczne, nagrody uzyskane przez studentów, nad którymi nauczyciel a</w:t>
            </w:r>
            <w:r>
              <w:rPr>
                <w:color w:val="233D81"/>
              </w:rPr>
              <w:t>kademicki sprawował opiekę naukową/artystyczną, opieka nad beneficjentem Diamentowego Grantu, uruchomienie nowego kierunku studiów/specjalności/ zajęć/grupy zajęć, opieka nad kołem naukowym, prowadzenie zajęć w języku obcym, w tym w uczelni zagranicznej, n</w:t>
            </w:r>
            <w:r>
              <w:rPr>
                <w:color w:val="233D81"/>
              </w:rPr>
              <w:t>p. w ramach mobilności nauczycieli akademickich).</w:t>
            </w:r>
          </w:p>
        </w:tc>
      </w:tr>
      <w:tr w:rsidR="00A17A18" w14:paraId="6C020951" w14:textId="77777777">
        <w:trPr>
          <w:trHeight w:val="509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</w:tcPr>
          <w:p w14:paraId="075964D2" w14:textId="77777777" w:rsidR="00A17A18" w:rsidRDefault="00DA31D7">
            <w:r>
              <w:t>1. Stypendium Fullbright magistranta (Pan Michał Winnicki)</w:t>
            </w:r>
          </w:p>
          <w:p w14:paraId="0B7D9220" w14:textId="77777777" w:rsidR="00A17A18" w:rsidRDefault="00DA31D7">
            <w:r>
              <w:t>2. Stypendium MNISW magistranta (Pani Anna Antoniak)</w:t>
            </w:r>
          </w:p>
          <w:p w14:paraId="6B5B9430" w14:textId="77777777" w:rsidR="00A17A18" w:rsidRDefault="00DA31D7">
            <w:r>
              <w:t>3. Wyróżnienie pracy licencjackiej w konkursie „złoty medal chemii” wykonywanej pod moją opie</w:t>
            </w:r>
            <w:r>
              <w:t>ką (Pan Patryk Wesołowski)</w:t>
            </w:r>
          </w:p>
          <w:p w14:paraId="3350E8FA" w14:textId="77777777" w:rsidR="00A17A18" w:rsidRDefault="00DA31D7">
            <w:r>
              <w:t>4.  Stypendium Rektora UG (Pani Anna Antoniak)</w:t>
            </w:r>
          </w:p>
          <w:p w14:paraId="42069C42" w14:textId="77777777" w:rsidR="00A17A18" w:rsidRDefault="00DA31D7">
            <w:r>
              <w:t>5. Stypendium Rektora UG (Pan Patryk Wesołowski)</w:t>
            </w:r>
          </w:p>
          <w:p w14:paraId="12A556DD" w14:textId="77777777" w:rsidR="00A17A18" w:rsidRDefault="00DA31D7">
            <w:r>
              <w:t xml:space="preserve">6. Uruchomienie nowego anglojęzycznego kierunku studiów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chemistry</w:t>
            </w:r>
            <w:proofErr w:type="spellEnd"/>
          </w:p>
        </w:tc>
      </w:tr>
    </w:tbl>
    <w:p w14:paraId="252C48A3" w14:textId="77777777" w:rsidR="00A17A18" w:rsidRDefault="00A17A18"/>
    <w:sectPr w:rsidR="00A17A1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18"/>
    <w:rsid w:val="00A17A18"/>
    <w:rsid w:val="00DA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BD26"/>
  <w15:docId w15:val="{966BC88F-D77D-4818-B2C9-E9FB408B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/>
      <w:jc w:val="both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Quotation">
    <w:name w:val="Quotation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ohit Devanagari"/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jmb.2023.167964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1002/jcc.2708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doi.org/10.1007/s11696-022-02634-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3EDF295F-A517-47ED-A5D9-E40A718558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650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dc:description/>
  <cp:lastModifiedBy>Agnieszka Koczara</cp:lastModifiedBy>
  <cp:revision>16</cp:revision>
  <dcterms:created xsi:type="dcterms:W3CDTF">2023-03-29T16:05:00Z</dcterms:created>
  <dcterms:modified xsi:type="dcterms:W3CDTF">2023-06-06T10:13:00Z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0x0101002725EB9AFD018346A2FFA1A8752442E0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